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80" w:before="800"/>
      </w:pPr>
      <w:r>
        <w:rPr>
          <w:rFonts w:ascii="Calibri" w:hAnsi="Calibri"/>
          <w:b/>
          <w:i w:val="0"/>
          <w:color w:val="0069A4"/>
          <w:sz w:val="18"/>
        </w:rPr>
        <w:t>ATTENDO PRESENTS</w:t>
      </w:r>
    </w:p>
    <w:p>
      <w:pPr>
        <w:keepNext w:val="0"/>
        <w:spacing w:after="40" w:before="0"/>
      </w:pPr>
      <w:r>
        <w:rPr>
          <w:rFonts w:ascii="Calibri" w:hAnsi="Calibri"/>
          <w:b/>
          <w:i w:val="0"/>
          <w:color w:val="1D1D1D"/>
          <w:sz w:val="48"/>
        </w:rPr>
        <w:t>Standing Orders</w:t>
      </w:r>
    </w:p>
    <w:p>
      <w:pPr>
        <w:keepNext w:val="0"/>
        <w:spacing w:after="200" w:before="0"/>
      </w:pPr>
      <w:r>
        <w:rPr>
          <w:rFonts w:ascii="Calibri" w:hAnsi="Calibri"/>
          <w:b w:val="0"/>
          <w:i w:val="0"/>
          <w:color w:val="565656"/>
          <w:sz w:val="30"/>
        </w:rPr>
        <w:t>Model, certified, and the ten formats around them</w:t>
      </w:r>
    </w:p>
    <w:p>
      <w:pPr>
        <w:keepNext w:val="0"/>
        <w:spacing w:after="320" w:before="0"/>
      </w:pPr>
      <w:r>
        <w:rPr>
          <w:rFonts w:ascii="Calibri" w:hAnsi="Calibri"/>
          <w:b w:val="0"/>
          <w:i w:val="0"/>
          <w:color w:val="565656"/>
          <w:sz w:val="23"/>
        </w:rPr>
        <w:t>Built on Chapter IV of the Industrial Relations Code, 2020, sections 28 to 39 and the First Schedule, with the Model Standing Orders, 2026 notified by S.O. 2312(E)</w:t>
      </w:r>
    </w:p>
    <w:p>
      <w:pPr>
        <w:spacing w:after="160" w:before="160"/>
        <w:pBdr>
          <w:bottom w:val="single" w:sz="6" w:space="1" w:color="D1EAF9"/>
        </w:pBdr>
      </w:pPr>
    </w:p>
    <w:p>
      <w:pPr>
        <w:keepNext w:val="0"/>
        <w:spacing w:after="360" w:before="0"/>
      </w:pPr>
      <w:r>
        <w:rPr>
          <w:rFonts w:ascii="Calibri" w:hAnsi="Calibri"/>
          <w:b w:val="0"/>
          <w:i w:val="0"/>
          <w:color w:val="565656"/>
          <w:sz w:val="20"/>
        </w:rPr>
        <w:t>For Indian employers</w:t>
      </w:r>
    </w:p>
    <w:p>
      <w:pPr>
        <w:keepNext w:val="0"/>
        <w:spacing w:after="280" w:before="0"/>
        <w:ind w:left="173"/>
        <w:shd w:val="clear" w:fill="FFF6E5"/>
      </w:pPr>
      <w:r>
        <w:rPr>
          <w:rFonts w:ascii="Calibri" w:hAnsi="Calibri"/>
          <w:b w:val="0"/>
          <w:i w:val="0"/>
          <w:color w:val="1D1D1D"/>
          <w:sz w:val="22"/>
        </w:rPr>
        <w:t>You already have standing orders. Section 29(2) deems the Model Standing Orders adopted in your establishment from the day this Chapter reached you, and they stay adopted until your own certified orders come into operation. The question was never whether to have them. It is whether yours are the Centre's or your own.</w:t>
      </w:r>
    </w:p>
    <w:p>
      <w:pPr>
        <w:keepNext w:val="0"/>
        <w:spacing w:after="120" w:before="0"/>
      </w:pPr>
      <w:r>
        <w:rPr>
          <w:rFonts w:ascii="Calibri" w:hAnsi="Calibri"/>
          <w:b/>
          <w:i w:val="0"/>
          <w:color w:val="1D1D1D"/>
          <w:sz w:val="24"/>
        </w:rPr>
        <w:t>Contents</w:t>
      </w:r>
    </w:p>
    <w:p>
      <w:pPr>
        <w:keepNext w:val="0"/>
        <w:spacing w:after="60" w:before="0"/>
        <w:ind w:left="144"/>
      </w:pPr>
      <w:r>
        <w:rPr>
          <w:rFonts w:ascii="Calibri" w:hAnsi="Calibri"/>
          <w:b w:val="0"/>
          <w:i w:val="0"/>
          <w:color w:val="565656"/>
          <w:sz w:val="20"/>
        </w:rPr>
        <w:t>1.  Whether Chapter IV reaches you</w:t>
      </w:r>
    </w:p>
    <w:p>
      <w:pPr>
        <w:keepNext w:val="0"/>
        <w:spacing w:after="60" w:before="0"/>
        <w:ind w:left="144"/>
      </w:pPr>
      <w:r>
        <w:rPr>
          <w:rFonts w:ascii="Calibri" w:hAnsi="Calibri"/>
          <w:b w:val="0"/>
          <w:i w:val="0"/>
          <w:color w:val="565656"/>
          <w:sz w:val="20"/>
        </w:rPr>
        <w:t>2.  What you already have, and the deadline that has gone</w:t>
      </w:r>
    </w:p>
    <w:p>
      <w:pPr>
        <w:keepNext w:val="0"/>
        <w:spacing w:after="60" w:before="0"/>
        <w:ind w:left="144"/>
      </w:pPr>
      <w:r>
        <w:rPr>
          <w:rFonts w:ascii="Calibri" w:hAnsi="Calibri"/>
          <w:b w:val="0"/>
          <w:i w:val="0"/>
          <w:color w:val="565656"/>
          <w:sz w:val="20"/>
        </w:rPr>
        <w:t>3.  Three routes, and which one is yours</w:t>
      </w:r>
    </w:p>
    <w:p>
      <w:pPr>
        <w:keepNext w:val="0"/>
        <w:spacing w:after="60" w:before="0"/>
        <w:ind w:left="144"/>
      </w:pPr>
      <w:r>
        <w:rPr>
          <w:rFonts w:ascii="Calibri" w:hAnsi="Calibri"/>
          <w:b w:val="0"/>
          <w:i w:val="0"/>
          <w:color w:val="565656"/>
          <w:sz w:val="20"/>
        </w:rPr>
        <w:t>4.  The eleven matters the First Schedule requires</w:t>
      </w:r>
    </w:p>
    <w:p>
      <w:pPr>
        <w:keepNext w:val="0"/>
        <w:spacing w:after="60" w:before="0"/>
        <w:ind w:left="144"/>
      </w:pPr>
      <w:r>
        <w:rPr>
          <w:rFonts w:ascii="Calibri" w:hAnsi="Calibri"/>
          <w:b w:val="0"/>
          <w:i w:val="0"/>
          <w:color w:val="565656"/>
          <w:sz w:val="20"/>
        </w:rPr>
        <w:t>5.  Every clock in Chapter IV</w:t>
      </w:r>
    </w:p>
    <w:p>
      <w:pPr>
        <w:keepNext w:val="0"/>
        <w:spacing w:after="60" w:before="0"/>
        <w:ind w:left="144"/>
      </w:pPr>
      <w:r>
        <w:rPr>
          <w:rFonts w:ascii="Calibri" w:hAnsi="Calibri"/>
          <w:b w:val="0"/>
          <w:i w:val="0"/>
          <w:color w:val="565656"/>
          <w:sz w:val="20"/>
        </w:rPr>
        <w:t>6.  What the Rules prescribe, which the Code only points at</w:t>
      </w:r>
    </w:p>
    <w:p>
      <w:pPr>
        <w:keepNext w:val="0"/>
        <w:spacing w:after="60" w:before="0"/>
        <w:ind w:left="144"/>
      </w:pPr>
      <w:r>
        <w:rPr>
          <w:rFonts w:ascii="Calibri" w:hAnsi="Calibri"/>
          <w:b w:val="0"/>
          <w:i w:val="0"/>
          <w:color w:val="565656"/>
          <w:sz w:val="20"/>
        </w:rPr>
        <w:t>7.  What it costs to get this wrong</w:t>
      </w:r>
    </w:p>
    <w:p>
      <w:pPr>
        <w:keepNext w:val="0"/>
        <w:spacing w:after="60" w:before="0"/>
        <w:ind w:left="144"/>
      </w:pPr>
      <w:r>
        <w:rPr>
          <w:rFonts w:ascii="Calibri" w:hAnsi="Calibri"/>
          <w:b w:val="0"/>
          <w:i w:val="0"/>
          <w:color w:val="565656"/>
          <w:sz w:val="20"/>
        </w:rPr>
        <w:t>8.  What you may not put in them</w:t>
      </w:r>
    </w:p>
    <w:p>
      <w:pPr>
        <w:keepNext w:val="0"/>
        <w:spacing w:after="60" w:before="0"/>
        <w:ind w:left="144"/>
      </w:pPr>
      <w:r>
        <w:rPr>
          <w:rFonts w:ascii="Calibri" w:hAnsi="Calibri"/>
          <w:b w:val="0"/>
          <w:i w:val="0"/>
          <w:color w:val="565656"/>
          <w:sz w:val="20"/>
        </w:rPr>
        <w:t>9.  What this pack does not claim</w:t>
      </w:r>
    </w:p>
    <w:p>
      <w:pPr>
        <w:keepNext w:val="0"/>
        <w:spacing w:after="60" w:before="0"/>
        <w:ind w:left="144"/>
      </w:pPr>
      <w:r>
        <w:rPr>
          <w:rFonts w:ascii="Calibri" w:hAnsi="Calibri"/>
          <w:b w:val="0"/>
          <w:i w:val="0"/>
          <w:color w:val="565656"/>
          <w:sz w:val="20"/>
        </w:rPr>
        <w:t>10.  Ten formats, and when to use each</w:t>
      </w:r>
    </w:p>
    <w:p>
      <w:pPr>
        <w:keepNext w:val="0"/>
        <w:spacing w:after="60" w:before="0"/>
        <w:ind w:left="144"/>
      </w:pPr>
      <w:r>
        <w:rPr>
          <w:rFonts w:ascii="Calibri" w:hAnsi="Calibri"/>
          <w:b w:val="0"/>
          <w:i w:val="0"/>
          <w:color w:val="565656"/>
          <w:sz w:val="20"/>
        </w:rPr>
        <w:t>11.  The formats</w:t>
      </w:r>
    </w:p>
    <w:p>
      <w:pPr>
        <w:keepNext w:val="0"/>
        <w:spacing w:after="60" w:before="0"/>
        <w:ind w:left="144"/>
      </w:pPr>
      <w:r>
        <w:rPr>
          <w:rFonts w:ascii="Calibri" w:hAnsi="Calibri"/>
          <w:b w:val="0"/>
          <w:i w:val="0"/>
          <w:color w:val="565656"/>
          <w:sz w:val="20"/>
        </w:rPr>
        <w:t>12.  Eight mistakes employers make</w:t>
      </w:r>
    </w:p>
    <w:p>
      <w:pPr>
        <w:keepNext w:val="0"/>
        <w:spacing w:after="60" w:before="0"/>
        <w:ind w:left="144"/>
      </w:pPr>
      <w:r>
        <w:rPr>
          <w:rFonts w:ascii="Calibri" w:hAnsi="Calibri"/>
          <w:b w:val="0"/>
          <w:i w:val="0"/>
          <w:color w:val="565656"/>
          <w:sz w:val="20"/>
        </w:rPr>
        <w:t>13.  Fourteen checks, and where every line comes from</w:t>
      </w:r>
    </w:p>
    <w:p>
      <w:pPr>
        <w:keepNext w:val="0"/>
        <w:spacing w:after="200" w:before="0"/>
      </w:pPr>
      <w:r>
        <w:rPr>
          <w:rFonts w:ascii="Calibri" w:hAnsi="Calibri"/>
          <w:b w:val="0"/>
          <w:i w:val="0"/>
          <w:color w:val="1D1D1D"/>
          <w:sz w:val="21"/>
        </w:rPr>
      </w:r>
    </w:p>
    <w:p>
      <w:pPr>
        <w:keepNext w:val="0"/>
        <w:spacing w:after="160" w:before="0"/>
      </w:pPr>
      <w:r>
        <w:rPr>
          <w:rFonts w:ascii="Calibri" w:hAnsi="Calibri"/>
          <w:b w:val="0"/>
          <w:i/>
          <w:color w:val="565656"/>
          <w:sz w:val="18"/>
        </w:rPr>
        <w:t>Every line in this pack was read at the cited provision in the gazette on 28-Sep-2026. Nothing here is quoted from commentary.</w:t>
      </w:r>
    </w:p>
    <w:p>
      <w:pPr>
        <w:keepNext w:val="0"/>
        <w:spacing w:after="120" w:before="0"/>
      </w:pPr>
      <w:r>
        <w:rPr>
          <w:rFonts w:ascii="Calibri" w:hAnsi="Calibri"/>
          <w:b w:val="0"/>
          <w:i w:val="0"/>
          <w:color w:val="565656"/>
          <w:sz w:val="18"/>
        </w:rPr>
        <w:t>Attendo (formerly Petpooja Payroll) is payroll and attendance software used by more than 40,000 businesses across manufacturing, corporate offices, healthcare, retail and hospitality.</w:t>
      </w:r>
    </w:p>
    <w:p>
      <w:r>
        <w:br w:type="page"/>
      </w:r>
    </w:p>
    <w:p>
      <w:pPr>
        <w:pStyle w:val="Heading1"/>
        <w:keepNext/>
        <w:spacing w:after="200" w:before="80"/>
        <w:ind w:left="115"/>
        <w:shd w:val="clear" w:fill="008CDB"/>
      </w:pPr>
      <w:r>
        <w:rPr>
          <w:rFonts w:ascii="Calibri" w:hAnsi="Calibri"/>
          <w:b/>
          <w:color w:val="FFFFFF"/>
          <w:sz w:val="22"/>
        </w:rPr>
        <w:t>1  ·  WHETHER CHAPTER IV REACHES YOU</w:t>
      </w:r>
    </w:p>
    <w:p>
      <w:pPr>
        <w:keepNext w:val="0"/>
        <w:spacing w:after="160" w:before="0"/>
        <w:ind w:left="173"/>
        <w:shd w:val="clear" w:fill="E8F4FC"/>
      </w:pPr>
      <w:r>
        <w:rPr>
          <w:rFonts w:ascii="Calibri" w:hAnsi="Calibri"/>
          <w:b w:val="0"/>
          <w:i w:val="0"/>
          <w:color w:val="1D1D1D"/>
          <w:sz w:val="20"/>
        </w:rPr>
        <w:t>FIRST, THE WORD “INDUSTRIAL”, WHICH MISLEADS MORE READERS THAN ANY OTHER WORD IN THIS CHAPTER. It does not mean factories. Section 2(r) defines an industrial establishment as one in which any INDUSTRY is carried on, and section 2(p) defines industry as any systematic activity carried on by co-operation between an employer and worker for the production, supply or distribution of goods OR SERVICES, whether or not capital has been invested and WHETHER OR NOT it is carried on with a motive to make gain or profit. An IT company, a hospital, a hotel, a bank, a logistics firm and a retail chain are all carrying on an industry. The exclusions are short: institutions owned or managed by organisations wholly or substantially engaged in charitable, social or philanthropic service; activities of government relatable to its sovereign functions; domestic service; and anything the Central Government notifies. If you employ people to produce or supply anything, assume you are in and read on.</w:t>
      </w:r>
    </w:p>
    <w:p>
      <w:pPr>
        <w:keepNext w:val="0"/>
        <w:spacing w:after="200" w:before="0"/>
      </w:pPr>
      <w:r>
        <w:rPr>
          <w:rFonts w:ascii="Calibri" w:hAnsi="Calibri"/>
          <w:b w:val="0"/>
          <w:i w:val="0"/>
          <w:color w:val="1D1D1D"/>
          <w:sz w:val="19"/>
        </w:rPr>
        <w:t>Where several activities are carried on and only some are an industry, the proviso to section 2(r) severs it: a unit carrying on the industry, severable from the rest, is a separate industrial establishment; and where the PREDOMINANT activity is an industry and the others are not severable from it, the whole establishment is one.</w:t>
      </w:r>
    </w:p>
    <w:p>
      <w:pPr>
        <w:keepNext w:val="0"/>
        <w:spacing w:after="200" w:before="0"/>
      </w:pPr>
      <w:r>
        <w:rPr>
          <w:rFonts w:ascii="Calibri" w:hAnsi="Calibri"/>
          <w:b w:val="0"/>
          <w:i w:val="0"/>
          <w:color w:val="1D1D1D"/>
          <w:sz w:val="21"/>
        </w:rPr>
        <w:t>Five layers. The first carries the trap, and it is a trap about time rather than size.</w:t>
      </w:r>
    </w:p>
    <w:tbl>
      <w:tblPr>
        <w:tblStyle w:val="TableGrid"/>
        <w:tblW w:type="auto" w:w="0"/>
        <w:tblLook w:firstColumn="1" w:firstRow="1" w:lastColumn="0" w:lastRow="0" w:noHBand="0" w:noVBand="1" w:val="04A0"/>
      </w:tblPr>
      <w:tblGrid>
        <w:gridCol w:w="3216"/>
        <w:gridCol w:w="3216"/>
        <w:gridCol w:w="3216"/>
      </w:tblGrid>
      <w:tr>
        <w:tc>
          <w:tcPr>
            <w:tcW w:type="dxa" w:w="2448"/>
          </w:tcPr>
          <w:p>
            <w:pPr>
              <w:spacing w:after="40"/>
              <w:shd w:val="clear" w:fill="E8F4FC"/>
            </w:pPr>
            <w:r/>
            <w:r>
              <w:rPr>
                <w:rFonts w:ascii="Calibri" w:hAnsi="Calibri"/>
                <w:b/>
                <w:color w:val="0069A4"/>
                <w:sz w:val="17"/>
              </w:rPr>
              <w:t>Layer</w:t>
            </w:r>
          </w:p>
        </w:tc>
        <w:tc>
          <w:tcPr>
            <w:tcW w:type="dxa" w:w="5040"/>
          </w:tcPr>
          <w:p>
            <w:pPr>
              <w:spacing w:after="40"/>
              <w:shd w:val="clear" w:fill="E8F4FC"/>
            </w:pPr>
            <w:r/>
            <w:r>
              <w:rPr>
                <w:rFonts w:ascii="Calibri" w:hAnsi="Calibri"/>
                <w:b/>
                <w:color w:val="0069A4"/>
                <w:sz w:val="17"/>
              </w:rPr>
              <w:t>What it means</w:t>
            </w:r>
          </w:p>
        </w:tc>
        <w:tc>
          <w:tcPr>
            <w:tcW w:type="dxa" w:w="2016"/>
          </w:tcPr>
          <w:p>
            <w:pPr>
              <w:spacing w:after="40"/>
              <w:shd w:val="clear" w:fill="E8F4FC"/>
            </w:pPr>
            <w:r/>
            <w:r>
              <w:rPr>
                <w:rFonts w:ascii="Calibri" w:hAnsi="Calibri"/>
                <w:b/>
                <w:color w:val="0069A4"/>
                <w:sz w:val="17"/>
              </w:rPr>
              <w:t>Provision</w:t>
            </w:r>
          </w:p>
        </w:tc>
      </w:tr>
      <w:tr>
        <w:tc>
          <w:tcPr>
            <w:tcW w:type="dxa" w:w="2448"/>
          </w:tcPr>
          <w:p>
            <w:pPr>
              <w:spacing w:after="40"/>
            </w:pPr>
            <w:r/>
            <w:r>
              <w:rPr>
                <w:rFonts w:ascii="Calibri" w:hAnsi="Calibri"/>
                <w:color w:val="565656"/>
                <w:sz w:val="17"/>
              </w:rPr>
              <w:t>The headcount, and the year behind it</w:t>
            </w:r>
          </w:p>
        </w:tc>
        <w:tc>
          <w:tcPr>
            <w:tcW w:type="dxa" w:w="5040"/>
          </w:tcPr>
          <w:p>
            <w:pPr>
              <w:spacing w:after="40"/>
            </w:pPr>
            <w:r/>
            <w:r>
              <w:rPr>
                <w:rFonts w:ascii="Calibri" w:hAnsi="Calibri"/>
                <w:color w:val="565656"/>
                <w:sz w:val="17"/>
              </w:rPr>
              <w:t>Section 28(1) reaches every industrial establishment wherein three hundred or more than three hundred workers ARE employed, or WERE employed on any day of the preceding twelve months. The second limb is the one that catches people: a single day above three hundred in the last year puts you inside the Chapter today, even if you are at two hundred and eighty now.</w:t>
            </w:r>
          </w:p>
        </w:tc>
        <w:tc>
          <w:tcPr>
            <w:tcW w:type="dxa" w:w="2016"/>
          </w:tcPr>
          <w:p>
            <w:pPr>
              <w:spacing w:after="40"/>
            </w:pPr>
            <w:r/>
            <w:r>
              <w:rPr>
                <w:rFonts w:ascii="Calibri" w:hAnsi="Calibri"/>
                <w:color w:val="565656"/>
                <w:sz w:val="17"/>
              </w:rPr>
              <w:t>IR Code, s.28(1)</w:t>
            </w:r>
          </w:p>
        </w:tc>
      </w:tr>
      <w:tr>
        <w:tc>
          <w:tcPr>
            <w:tcW w:type="dxa" w:w="2448"/>
          </w:tcPr>
          <w:p>
            <w:pPr>
              <w:spacing w:after="40"/>
            </w:pPr>
            <w:r/>
            <w:r>
              <w:rPr>
                <w:rFonts w:ascii="Calibri" w:hAnsi="Calibri"/>
                <w:color w:val="565656"/>
                <w:sz w:val="17"/>
              </w:rPr>
              <w:t>Whether you are an industrial establishment</w:t>
            </w:r>
          </w:p>
        </w:tc>
        <w:tc>
          <w:tcPr>
            <w:tcW w:type="dxa" w:w="5040"/>
          </w:tcPr>
          <w:p>
            <w:pPr>
              <w:spacing w:after="40"/>
            </w:pPr>
            <w:r/>
            <w:r>
              <w:rPr>
                <w:rFonts w:ascii="Calibri" w:hAnsi="Calibri"/>
                <w:color w:val="565656"/>
                <w:sz w:val="17"/>
              </w:rPr>
              <w:t>The Chapter speaks of an industrial establishment, not of any employer. Read the definition before you count anybody, because the count only matters once you are inside it.</w:t>
            </w:r>
          </w:p>
        </w:tc>
        <w:tc>
          <w:tcPr>
            <w:tcW w:type="dxa" w:w="2016"/>
          </w:tcPr>
          <w:p>
            <w:pPr>
              <w:spacing w:after="40"/>
            </w:pPr>
            <w:r/>
            <w:r>
              <w:rPr>
                <w:rFonts w:ascii="Calibri" w:hAnsi="Calibri"/>
                <w:color w:val="565656"/>
                <w:sz w:val="17"/>
              </w:rPr>
              <w:t>IR Code, s.2(zj) with the First Schedule</w:t>
            </w:r>
          </w:p>
        </w:tc>
      </w:tr>
      <w:tr>
        <w:tc>
          <w:tcPr>
            <w:tcW w:type="dxa" w:w="2448"/>
          </w:tcPr>
          <w:p>
            <w:pPr>
              <w:spacing w:after="40"/>
            </w:pPr>
            <w:r/>
            <w:r>
              <w:rPr>
                <w:rFonts w:ascii="Calibri" w:hAnsi="Calibri"/>
                <w:color w:val="565656"/>
                <w:sz w:val="17"/>
              </w:rPr>
              <w:t>Government service rules take you out</w:t>
            </w:r>
          </w:p>
        </w:tc>
        <w:tc>
          <w:tcPr>
            <w:tcW w:type="dxa" w:w="5040"/>
          </w:tcPr>
          <w:p>
            <w:pPr>
              <w:spacing w:after="40"/>
            </w:pPr>
            <w:r/>
            <w:r>
              <w:rPr>
                <w:rFonts w:ascii="Calibri" w:hAnsi="Calibri"/>
                <w:color w:val="565656"/>
                <w:sz w:val="17"/>
              </w:rPr>
              <w:t>Section 28(2) disapplies the whole Chapter so far as the workers are people to whom the Fundamental and Supplementary Rules, the Civil Services rules, the Civilians in Defence Service rules or the Indian Railway Establishment Code apply, or any other rules the appropriate Government notifies.</w:t>
            </w:r>
          </w:p>
        </w:tc>
        <w:tc>
          <w:tcPr>
            <w:tcW w:type="dxa" w:w="2016"/>
          </w:tcPr>
          <w:p>
            <w:pPr>
              <w:spacing w:after="40"/>
            </w:pPr>
            <w:r/>
            <w:r>
              <w:rPr>
                <w:rFonts w:ascii="Calibri" w:hAnsi="Calibri"/>
                <w:color w:val="565656"/>
                <w:sz w:val="17"/>
              </w:rPr>
              <w:t>IR Code, s.28(2)</w:t>
            </w:r>
          </w:p>
        </w:tc>
      </w:tr>
      <w:tr>
        <w:tc>
          <w:tcPr>
            <w:tcW w:type="dxa" w:w="2448"/>
          </w:tcPr>
          <w:p>
            <w:pPr>
              <w:spacing w:after="40"/>
            </w:pPr>
            <w:r/>
            <w:r>
              <w:rPr>
                <w:rFonts w:ascii="Calibri" w:hAnsi="Calibri"/>
                <w:color w:val="565656"/>
                <w:sz w:val="17"/>
              </w:rPr>
              <w:t>And the Government can exempt you</w:t>
            </w:r>
          </w:p>
        </w:tc>
        <w:tc>
          <w:tcPr>
            <w:tcW w:type="dxa" w:w="5040"/>
          </w:tcPr>
          <w:p>
            <w:pPr>
              <w:spacing w:after="40"/>
            </w:pPr>
            <w:r/>
            <w:r>
              <w:rPr>
                <w:rFonts w:ascii="Calibri" w:hAnsi="Calibri"/>
                <w:color w:val="565656"/>
                <w:sz w:val="17"/>
              </w:rPr>
              <w:t>Section 39 lets the appropriate Government exempt any establishment or class of establishments from all or any of this Chapter, conditionally or unconditionally. Check for a notification covering your class before assuming you are in.</w:t>
            </w:r>
          </w:p>
        </w:tc>
        <w:tc>
          <w:tcPr>
            <w:tcW w:type="dxa" w:w="2016"/>
          </w:tcPr>
          <w:p>
            <w:pPr>
              <w:spacing w:after="40"/>
            </w:pPr>
            <w:r/>
            <w:r>
              <w:rPr>
                <w:rFonts w:ascii="Calibri" w:hAnsi="Calibri"/>
                <w:color w:val="565656"/>
                <w:sz w:val="17"/>
              </w:rPr>
              <w:t>IR Code, s.39</w:t>
            </w:r>
          </w:p>
        </w:tc>
      </w:tr>
      <w:tr>
        <w:tc>
          <w:tcPr>
            <w:tcW w:type="dxa" w:w="2448"/>
          </w:tcPr>
          <w:p>
            <w:pPr>
              <w:spacing w:after="40"/>
            </w:pPr>
            <w:r/>
            <w:r>
              <w:rPr>
                <w:rFonts w:ascii="Calibri" w:hAnsi="Calibri"/>
                <w:color w:val="565656"/>
                <w:sz w:val="17"/>
              </w:rPr>
              <w:t>Which Government is yours</w:t>
            </w:r>
          </w:p>
        </w:tc>
        <w:tc>
          <w:tcPr>
            <w:tcW w:type="dxa" w:w="5040"/>
          </w:tcPr>
          <w:p>
            <w:pPr>
              <w:spacing w:after="40"/>
            </w:pPr>
            <w:r/>
            <w:r>
              <w:rPr>
                <w:rFonts w:ascii="Calibri" w:hAnsi="Calibri"/>
                <w:color w:val="565656"/>
                <w:sz w:val="17"/>
              </w:rPr>
              <w:t>The Chapter is the same everywhere, but the certifying officer, the appellate authority and any exemption notification are the appropriate Government's. For most private establishments that is the State.</w:t>
            </w:r>
          </w:p>
        </w:tc>
        <w:tc>
          <w:tcPr>
            <w:tcW w:type="dxa" w:w="2016"/>
          </w:tcPr>
          <w:p>
            <w:pPr>
              <w:spacing w:after="40"/>
            </w:pPr>
            <w:r/>
            <w:r>
              <w:rPr>
                <w:rFonts w:ascii="Calibri" w:hAnsi="Calibri"/>
                <w:color w:val="565656"/>
                <w:sz w:val="17"/>
              </w:rPr>
              <w:t>IR Code, s.2(b)</w:t>
            </w:r>
          </w:p>
        </w:tc>
      </w:tr>
    </w:tbl>
    <w:p>
      <w:pPr>
        <w:keepNext w:val="0"/>
        <w:spacing w:after="160" w:before="0"/>
      </w:pPr>
      <w:r>
        <w:rPr>
          <w:rFonts w:ascii="Calibri" w:hAnsi="Calibri"/>
          <w:b w:val="0"/>
          <w:i w:val="0"/>
          <w:color w:val="1D1D1D"/>
          <w:sz w:val="21"/>
        </w:rPr>
      </w:r>
    </w:p>
    <w:p>
      <w:pPr>
        <w:keepNext w:val="0"/>
        <w:spacing w:after="160" w:before="0"/>
        <w:ind w:left="173"/>
        <w:shd w:val="clear" w:fill="FFF6E5"/>
      </w:pPr>
      <w:r>
        <w:rPr>
          <w:rFonts w:ascii="Calibri" w:hAnsi="Calibri"/>
          <w:b w:val="0"/>
          <w:i w:val="0"/>
          <w:color w:val="1D1D1D"/>
          <w:sz w:val="20"/>
        </w:rPr>
        <w:t>Read section 28(1) slowly. It says three hundred or more than three hundred workers ARE employed, OR WERE EMPLOYED ON ANY DAY OF THE PRECEDING TWELVE MONTHS. An establishment sitting at two hundred and eighty today is inside this Chapter if it touched three hundred for a single day last year. Most headcount tests in Indian labour law look at now. This one looks back.</w:t>
      </w:r>
    </w:p>
    <w:p>
      <w:pPr>
        <w:spacing w:after="120"/>
        <w:ind w:left="288"/>
      </w:pPr>
      <w:r>
        <w:rPr>
          <w:rFonts w:ascii="Calibri" w:hAnsi="Calibri"/>
          <w:b/>
          <w:color w:val="0069A4"/>
          <w:sz w:val="17"/>
        </w:rPr>
        <w:t xml:space="preserve">Rests on  </w:t>
      </w:r>
      <w:r>
        <w:rPr>
          <w:rFonts w:ascii="Calibri" w:hAnsi="Calibri"/>
          <w:i/>
          <w:color w:val="565656"/>
          <w:sz w:val="17"/>
        </w:rPr>
        <w:t>IR Code, 2020, s.28 and s.39</w:t>
      </w:r>
    </w:p>
    <w:p>
      <w:r>
        <w:br w:type="page"/>
      </w:r>
    </w:p>
    <w:p>
      <w:pPr>
        <w:pStyle w:val="Heading1"/>
        <w:keepNext/>
        <w:spacing w:after="200" w:before="80"/>
        <w:ind w:left="115"/>
        <w:shd w:val="clear" w:fill="008CDB"/>
      </w:pPr>
      <w:r>
        <w:rPr>
          <w:rFonts w:ascii="Calibri" w:hAnsi="Calibri"/>
          <w:b/>
          <w:color w:val="FFFFFF"/>
          <w:sz w:val="22"/>
        </w:rPr>
        <w:t>2  ·  WHAT YOU ALREADY HAVE, AND THE DEADLINE THAT HAS GONE</w:t>
      </w:r>
    </w:p>
    <w:p>
      <w:pPr>
        <w:keepNext w:val="0"/>
        <w:spacing w:after="200" w:before="0"/>
      </w:pPr>
      <w:r>
        <w:rPr>
          <w:rFonts w:ascii="Calibri" w:hAnsi="Calibri"/>
          <w:b w:val="0"/>
          <w:i w:val="0"/>
          <w:color w:val="1D1D1D"/>
          <w:sz w:val="21"/>
        </w:rPr>
        <w:t>This is the section that changes what the rest of the pack is for.</w:t>
      </w:r>
    </w:p>
    <w:p>
      <w:pPr>
        <w:keepNext w:val="0"/>
        <w:spacing w:after="120" w:before="0"/>
        <w:ind w:left="288"/>
        <w:shd w:val="clear" w:fill="F4FAFE"/>
      </w:pPr>
      <w:r>
        <w:rPr>
          <w:rFonts w:ascii="Calibri" w:hAnsi="Calibri"/>
          <w:b w:val="0"/>
          <w:i w:val="0"/>
          <w:color w:val="1D1D1D"/>
          <w:sz w:val="20"/>
        </w:rPr>
        <w:t>Notwithstanding anything contained in sections 30 to 36, for the period commencing on the date on which this section becomes applicable to an industrial establishment and ending with the date on which the standing orders as finally certified under this Code come into operation under section 33 in that establishment, the model standing order referred to in sub-section (1) shall be deemed to be adopted in that establishment.</w:t>
      </w:r>
    </w:p>
    <w:p>
      <w:pPr>
        <w:keepNext w:val="0"/>
        <w:spacing w:after="200" w:before="0"/>
      </w:pPr>
      <w:r>
        <w:rPr>
          <w:rFonts w:ascii="Calibri" w:hAnsi="Calibri"/>
          <w:b w:val="0"/>
          <w:i w:val="0"/>
          <w:color w:val="1D1D1D"/>
          <w:sz w:val="20"/>
        </w:rPr>
        <w:t>Section 29(2). So there is no period in which an establishment over the line has no standing orders. From the day the Chapter reaches it, the Model Standing Orders, 2026 are deemed adopted, and section 33(2) and section 35 apply to them as they apply to orders you certified yourself. If you have done nothing, you have not avoided standing orders. You have chosen the Centre's.</w:t>
      </w:r>
    </w:p>
    <w:p>
      <w:pPr>
        <w:keepNext w:val="0"/>
        <w:spacing w:after="80" w:before="0"/>
      </w:pPr>
      <w:r>
        <w:rPr>
          <w:rFonts w:ascii="Calibri" w:hAnsi="Calibri"/>
          <w:b/>
          <w:i w:val="0"/>
          <w:color w:val="1D1D1D"/>
          <w:sz w:val="22"/>
        </w:rPr>
        <w:t>And the drafting window has closed</w:t>
      </w:r>
    </w:p>
    <w:p>
      <w:pPr>
        <w:keepNext w:val="0"/>
        <w:spacing w:after="200" w:before="0"/>
        <w:ind w:left="173"/>
        <w:shd w:val="clear" w:fill="FFF6E5"/>
      </w:pPr>
      <w:r>
        <w:rPr>
          <w:rFonts w:ascii="Calibri" w:hAnsi="Calibri"/>
          <w:b w:val="0"/>
          <w:i w:val="0"/>
          <w:color w:val="1D1D1D"/>
          <w:sz w:val="20"/>
        </w:rPr>
        <w:t>Section 30(1) gives the employer six months FROM THE DATE OF COMMENCEMENT OF THIS CODE to prepare draft standing orders. The Code commenced on 21-Nov-2025 by S.O. 5320(E), so that window closed on 21-May-2026. If you are reading this afterwards, the honest position is that you are late, and the fastest lawful route is section 30(3): adopt the model, inform the certifying officer, and the orders are deemed certified.</w:t>
      </w:r>
    </w:p>
    <w:p>
      <w:pPr>
        <w:spacing w:after="120"/>
        <w:ind w:left="288"/>
      </w:pPr>
      <w:r>
        <w:rPr>
          <w:rFonts w:ascii="Calibri" w:hAnsi="Calibri"/>
          <w:b/>
          <w:color w:val="0069A4"/>
          <w:sz w:val="17"/>
        </w:rPr>
        <w:t xml:space="preserve">Rests on  </w:t>
      </w:r>
      <w:r>
        <w:rPr>
          <w:rFonts w:ascii="Calibri" w:hAnsi="Calibri"/>
          <w:i/>
          <w:color w:val="565656"/>
          <w:sz w:val="17"/>
        </w:rPr>
        <w:t>IR Code, 2020, s.29(2) and s.30(1); S.O. 5320(E) of 21-Nov-2025</w:t>
      </w:r>
    </w:p>
    <w:p>
      <w:r>
        <w:br w:type="page"/>
      </w:r>
    </w:p>
    <w:p>
      <w:pPr>
        <w:pStyle w:val="Heading1"/>
        <w:keepNext/>
        <w:spacing w:after="200" w:before="80"/>
        <w:ind w:left="115"/>
        <w:shd w:val="clear" w:fill="008CDB"/>
      </w:pPr>
      <w:r>
        <w:rPr>
          <w:rFonts w:ascii="Calibri" w:hAnsi="Calibri"/>
          <w:b/>
          <w:color w:val="FFFFFF"/>
          <w:sz w:val="22"/>
        </w:rPr>
        <w:t>3  ·  THREE ROUTES, AND WHICH ONE IS YOURS</w:t>
      </w:r>
    </w:p>
    <w:tbl>
      <w:tblPr>
        <w:tblStyle w:val="TableGrid"/>
        <w:tblW w:type="auto" w:w="0"/>
        <w:tblLook w:firstColumn="1" w:firstRow="1" w:lastColumn="0" w:lastRow="0" w:noHBand="0" w:noVBand="1" w:val="04A0"/>
      </w:tblPr>
      <w:tblGrid>
        <w:gridCol w:w="3216"/>
        <w:gridCol w:w="3216"/>
        <w:gridCol w:w="3216"/>
      </w:tblGrid>
      <w:tr>
        <w:tc>
          <w:tcPr>
            <w:tcW w:type="dxa" w:w="2304"/>
          </w:tcPr>
          <w:p>
            <w:pPr>
              <w:spacing w:after="40"/>
              <w:shd w:val="clear" w:fill="E8F4FC"/>
            </w:pPr>
            <w:r/>
            <w:r>
              <w:rPr>
                <w:rFonts w:ascii="Calibri" w:hAnsi="Calibri"/>
                <w:b/>
                <w:color w:val="0069A4"/>
                <w:sz w:val="17"/>
              </w:rPr>
              <w:t>Route</w:t>
            </w:r>
          </w:p>
        </w:tc>
        <w:tc>
          <w:tcPr>
            <w:tcW w:type="dxa" w:w="5328"/>
          </w:tcPr>
          <w:p>
            <w:pPr>
              <w:spacing w:after="40"/>
              <w:shd w:val="clear" w:fill="E8F4FC"/>
            </w:pPr>
            <w:r/>
            <w:r>
              <w:rPr>
                <w:rFonts w:ascii="Calibri" w:hAnsi="Calibri"/>
                <w:b/>
                <w:color w:val="0069A4"/>
                <w:sz w:val="17"/>
              </w:rPr>
              <w:t>What the Code says</w:t>
            </w:r>
          </w:p>
        </w:tc>
        <w:tc>
          <w:tcPr>
            <w:tcW w:type="dxa" w:w="1872"/>
          </w:tcPr>
          <w:p>
            <w:pPr>
              <w:spacing w:after="40"/>
              <w:shd w:val="clear" w:fill="E8F4FC"/>
            </w:pPr>
            <w:r/>
            <w:r>
              <w:rPr>
                <w:rFonts w:ascii="Calibri" w:hAnsi="Calibri"/>
                <w:b/>
                <w:color w:val="0069A4"/>
                <w:sz w:val="17"/>
              </w:rPr>
              <w:t>Provision</w:t>
            </w:r>
          </w:p>
        </w:tc>
      </w:tr>
      <w:tr>
        <w:tc>
          <w:tcPr>
            <w:tcW w:type="dxa" w:w="2304"/>
          </w:tcPr>
          <w:p>
            <w:pPr>
              <w:spacing w:after="40"/>
            </w:pPr>
            <w:r/>
            <w:r>
              <w:rPr>
                <w:rFonts w:ascii="Calibri" w:hAnsi="Calibri"/>
                <w:color w:val="565656"/>
                <w:sz w:val="17"/>
              </w:rPr>
              <w:t>Adopt the Model Standing Orders</w:t>
            </w:r>
          </w:p>
        </w:tc>
        <w:tc>
          <w:tcPr>
            <w:tcW w:type="dxa" w:w="5328"/>
          </w:tcPr>
          <w:p>
            <w:pPr>
              <w:spacing w:after="40"/>
            </w:pPr>
            <w:r/>
            <w:r>
              <w:rPr>
                <w:rFonts w:ascii="Calibri" w:hAnsi="Calibri"/>
                <w:color w:val="565656"/>
                <w:sz w:val="17"/>
              </w:rPr>
              <w:t>Where an employer adopts a model standing order of the Central Government with respect to matters relevant to the establishment, those model standing orders are DEEMED to have been certified. Rule 10 prescribes how: inform the certifying officer electronically, in person or by speed post of the specific date of adoption, whereupon they apply to the establishment and all its units from that date. If he makes no observation within THIRTY DAYS they are deemed certified, and no authentication is required at all. This is the shortest road and for most establishments it is the right one.</w:t>
            </w:r>
          </w:p>
        </w:tc>
        <w:tc>
          <w:tcPr>
            <w:tcW w:type="dxa" w:w="1872"/>
          </w:tcPr>
          <w:p>
            <w:pPr>
              <w:spacing w:after="40"/>
            </w:pPr>
            <w:r/>
            <w:r>
              <w:rPr>
                <w:rFonts w:ascii="Calibri" w:hAnsi="Calibri"/>
                <w:color w:val="565656"/>
                <w:sz w:val="17"/>
              </w:rPr>
              <w:t>IR Code, s.30(3); IR Rules, rule 10 and rule 12 proviso</w:t>
            </w:r>
          </w:p>
        </w:tc>
      </w:tr>
      <w:tr>
        <w:tc>
          <w:tcPr>
            <w:tcW w:type="dxa" w:w="2304"/>
          </w:tcPr>
          <w:p>
            <w:pPr>
              <w:spacing w:after="40"/>
            </w:pPr>
            <w:r/>
            <w:r>
              <w:rPr>
                <w:rFonts w:ascii="Calibri" w:hAnsi="Calibri"/>
                <w:color w:val="565656"/>
                <w:sz w:val="17"/>
              </w:rPr>
              <w:t>Draft your own, on the model</w:t>
            </w:r>
          </w:p>
        </w:tc>
        <w:tc>
          <w:tcPr>
            <w:tcW w:type="dxa" w:w="5328"/>
          </w:tcPr>
          <w:p>
            <w:pPr>
              <w:spacing w:after="40"/>
            </w:pPr>
            <w:r/>
            <w:r>
              <w:rPr>
                <w:rFonts w:ascii="Calibri" w:hAnsi="Calibri"/>
                <w:color w:val="565656"/>
                <w:sz w:val="17"/>
              </w:rPr>
              <w:t>Prepare draft standing orders based on the model, covering EVERY matter in the First Schedule that applies to you, plus anything else you need, provided it is not inconsistent with the Code. Consult the Trade Unions or the negotiating union or council, then forward the draft to the certifying officer.</w:t>
            </w:r>
          </w:p>
        </w:tc>
        <w:tc>
          <w:tcPr>
            <w:tcW w:type="dxa" w:w="1872"/>
          </w:tcPr>
          <w:p>
            <w:pPr>
              <w:spacing w:after="40"/>
            </w:pPr>
            <w:r/>
            <w:r>
              <w:rPr>
                <w:rFonts w:ascii="Calibri" w:hAnsi="Calibri"/>
                <w:color w:val="565656"/>
                <w:sz w:val="17"/>
              </w:rPr>
              <w:t>IR Code, s.30(1) and 30(2)</w:t>
            </w:r>
          </w:p>
        </w:tc>
      </w:tr>
      <w:tr>
        <w:tc>
          <w:tcPr>
            <w:tcW w:type="dxa" w:w="2304"/>
          </w:tcPr>
          <w:p>
            <w:pPr>
              <w:spacing w:after="40"/>
            </w:pPr>
            <w:r/>
            <w:r>
              <w:rPr>
                <w:rFonts w:ascii="Calibri" w:hAnsi="Calibri"/>
                <w:color w:val="565656"/>
                <w:sz w:val="17"/>
              </w:rPr>
              <w:t>Keep the ones you already had</w:t>
            </w:r>
          </w:p>
        </w:tc>
        <w:tc>
          <w:tcPr>
            <w:tcW w:type="dxa" w:w="5328"/>
          </w:tcPr>
          <w:p>
            <w:pPr>
              <w:spacing w:after="40"/>
            </w:pPr>
            <w:r/>
            <w:r>
              <w:rPr>
                <w:rFonts w:ascii="Calibri" w:hAnsi="Calibri"/>
                <w:color w:val="565656"/>
                <w:sz w:val="17"/>
              </w:rPr>
              <w:t>Standing orders existing on the date the relevant provisions commenced continue, and are deemed certified, so far as they are not inconsistent with the Code or its rules. They are not automatically safe: the inconsistency test is done against the new Code, not the 1946 Act they were written under.</w:t>
            </w:r>
          </w:p>
        </w:tc>
        <w:tc>
          <w:tcPr>
            <w:tcW w:type="dxa" w:w="1872"/>
          </w:tcPr>
          <w:p>
            <w:pPr>
              <w:spacing w:after="40"/>
            </w:pPr>
            <w:r/>
            <w:r>
              <w:rPr>
                <w:rFonts w:ascii="Calibri" w:hAnsi="Calibri"/>
                <w:color w:val="565656"/>
                <w:sz w:val="17"/>
              </w:rPr>
              <w:t>IR Code, s.30(11)</w:t>
            </w:r>
          </w:p>
        </w:tc>
      </w:tr>
    </w:tbl>
    <w:p>
      <w:pPr>
        <w:keepNext w:val="0"/>
        <w:spacing w:after="200" w:before="0"/>
      </w:pPr>
      <w:r>
        <w:rPr>
          <w:rFonts w:ascii="Calibri" w:hAnsi="Calibri"/>
          <w:b w:val="0"/>
          <w:i w:val="0"/>
          <w:color w:val="1D1D1D"/>
          <w:sz w:val="21"/>
        </w:rPr>
      </w:r>
    </w:p>
    <w:p>
      <w:pPr>
        <w:keepNext w:val="0"/>
        <w:spacing w:after="200" w:before="0"/>
      </w:pPr>
      <w:r>
        <w:rPr>
          <w:rFonts w:ascii="Calibri" w:hAnsi="Calibri"/>
          <w:b w:val="0"/>
          <w:i w:val="0"/>
          <w:color w:val="1D1D1D"/>
          <w:sz w:val="20"/>
        </w:rPr>
        <w:t>For most establishments the first route is the right one. It needs no certification proceeding, no hearing and no waiting: adopting the model is deemed certification under section 30(3), and the only follow-up is forwarding the information to the certifying officer in the prescribed manner. The officer may direct an amendment if he has an observation, and that is the whole exposure.</w:t>
      </w:r>
    </w:p>
    <w:p>
      <w:pPr>
        <w:keepNext w:val="0"/>
        <w:spacing w:after="160" w:before="0"/>
        <w:ind w:left="173"/>
        <w:shd w:val="clear" w:fill="FFF6E5"/>
      </w:pPr>
      <w:r>
        <w:rPr>
          <w:rFonts w:ascii="Calibri" w:hAnsi="Calibri"/>
          <w:b w:val="0"/>
          <w:i w:val="0"/>
          <w:color w:val="1D1D1D"/>
          <w:sz w:val="20"/>
        </w:rPr>
        <w:t>Take the second route when your establishment genuinely needs terms the model does not carry, and the third only after checking your existing orders against THIS Code. Section 30(11) continues them so far as they are not inconsistent with it, and they were drafted under the Industrial Employment (Standing Orders) Act, 1946, which the Industrial Relations Code repealed with effect from 21-Nov-2025.</w:t>
      </w:r>
    </w:p>
    <w:p>
      <w:pPr>
        <w:keepNext w:val="0"/>
        <w:spacing w:after="160" w:before="0"/>
      </w:pPr>
      <w:r>
        <w:rPr>
          <w:rFonts w:ascii="Calibri" w:hAnsi="Calibri"/>
          <w:b w:val="0"/>
          <w:i w:val="0"/>
          <w:color w:val="1D1D1D"/>
          <w:sz w:val="19"/>
        </w:rPr>
        <w:t>That repeal has a history worth knowing, because for three months it was genuinely doubtful. Section 104(1) as enacted did not repeal anything by itself: it let the Central Government SPECIFY in the commencement notification that the three Acts stand repealed, and said the rest would remain in force until repealed by like notifications. S.O. 5320(E) of 21-Nov-2025 appointed the commencement date and said nothing about repeal. The Industrial Relations Code (Amendment) Act, 2026, No. 1 of 2026, assented on 16-Feb-2026 and deemed in force from 21-Nov-2025, substituted section 104(1) so that the three Acts stand repealed on and from the appointed date. So the repeal holds from 21-Nov-2025, by an Act passed afterwards.</w:t>
      </w:r>
    </w:p>
    <w:p>
      <w:pPr>
        <w:keepNext w:val="0"/>
        <w:spacing w:after="160" w:before="0"/>
        <w:ind w:left="173"/>
        <w:shd w:val="clear" w:fill="E8F4FC"/>
      </w:pPr>
      <w:r>
        <w:rPr>
          <w:rFonts w:ascii="Calibri" w:hAnsi="Calibri"/>
          <w:b w:val="0"/>
          <w:i w:val="0"/>
          <w:color w:val="1D1D1D"/>
          <w:sz w:val="20"/>
        </w:rPr>
        <w:t>AND THE OLD AUTHORITIES HAVE NOT GONE. The same amendment inserted section 104(1A): notwithstanding the repeal, the Tribunals and statutory authorities functioning under the repealed Acts continue to function until they become functional under this Code. Note what it says and what it does not: it speaks of TRIBUNALS AND STATUTORY AUTHORITIES, and whether a certifying officer appointed under the 1946 Act is one of them is a reading rather than something the sub-section spells out. The practical point stands either way. Where your appropriate Government has not yet appointed a certifying officer or an appellate authority under the Code, there is an office already doing the job and the Code did not intend a gap. RING THE OFFICE AND ASK WHO IS TAKING THESE, before you send Format 03 or Format 05, and record the name, the date and who told you on the tracker. Do not simply post it to whoever certified your orders in 2019.</w:t>
      </w:r>
    </w:p>
    <w:p>
      <w:pPr>
        <w:spacing w:after="120"/>
        <w:ind w:left="288"/>
      </w:pPr>
      <w:r>
        <w:rPr>
          <w:rFonts w:ascii="Calibri" w:hAnsi="Calibri"/>
          <w:b/>
          <w:color w:val="0069A4"/>
          <w:sz w:val="17"/>
        </w:rPr>
        <w:t xml:space="preserve">Rests on  </w:t>
      </w:r>
      <w:r>
        <w:rPr>
          <w:rFonts w:ascii="Calibri" w:hAnsi="Calibri"/>
          <w:i/>
          <w:color w:val="565656"/>
          <w:sz w:val="17"/>
        </w:rPr>
        <w:t>IR Code, 2020, s.30(1), 30(2), 30(3) and 30(11)</w:t>
      </w:r>
    </w:p>
    <w:p>
      <w:r>
        <w:br w:type="page"/>
      </w:r>
    </w:p>
    <w:p>
      <w:pPr>
        <w:pStyle w:val="Heading1"/>
        <w:keepNext/>
        <w:spacing w:after="200" w:before="80"/>
        <w:ind w:left="115"/>
        <w:shd w:val="clear" w:fill="008CDB"/>
      </w:pPr>
      <w:r>
        <w:rPr>
          <w:rFonts w:ascii="Calibri" w:hAnsi="Calibri"/>
          <w:b/>
          <w:color w:val="FFFFFF"/>
          <w:sz w:val="22"/>
        </w:rPr>
        <w:t>4  ·  THE ELEVEN MATTERS THE FIRST SCHEDULE REQUIRES</w:t>
      </w:r>
    </w:p>
    <w:p>
      <w:pPr>
        <w:keepNext w:val="0"/>
        <w:spacing w:after="200" w:before="0"/>
      </w:pPr>
      <w:r>
        <w:rPr>
          <w:rFonts w:ascii="Calibri" w:hAnsi="Calibri"/>
          <w:b w:val="0"/>
          <w:i w:val="0"/>
          <w:color w:val="1D1D1D"/>
          <w:sz w:val="21"/>
        </w:rPr>
        <w:t>Standing orders are certifiable only if provision is made for every matter in the First Schedule that applies to your establishment. These are the Schedule's own words, in its own order.</w:t>
      </w:r>
    </w:p>
    <w:tbl>
      <w:tblPr>
        <w:tblStyle w:val="TableGrid"/>
        <w:tblW w:type="auto" w:w="0"/>
        <w:tblLook w:firstColumn="1" w:firstRow="1" w:lastColumn="0" w:lastRow="0" w:noHBand="0" w:noVBand="1" w:val="04A0"/>
      </w:tblPr>
      <w:tblGrid>
        <w:gridCol w:w="3216"/>
        <w:gridCol w:w="3216"/>
        <w:gridCol w:w="3216"/>
      </w:tblGrid>
      <w:tr>
        <w:tc>
          <w:tcPr>
            <w:tcW w:type="dxa" w:w="576"/>
          </w:tcPr>
          <w:p>
            <w:pPr>
              <w:spacing w:after="40"/>
              <w:shd w:val="clear" w:fill="E8F4FC"/>
            </w:pPr>
            <w:r/>
            <w:r>
              <w:rPr>
                <w:rFonts w:ascii="Calibri" w:hAnsi="Calibri"/>
                <w:b/>
                <w:color w:val="0069A4"/>
                <w:sz w:val="17"/>
              </w:rPr>
              <w:t>#</w:t>
            </w:r>
          </w:p>
        </w:tc>
        <w:tc>
          <w:tcPr>
            <w:tcW w:type="dxa" w:w="2592"/>
          </w:tcPr>
          <w:p>
            <w:pPr>
              <w:spacing w:after="40"/>
              <w:shd w:val="clear" w:fill="E8F4FC"/>
            </w:pPr>
            <w:r/>
            <w:r>
              <w:rPr>
                <w:rFonts w:ascii="Calibri" w:hAnsi="Calibri"/>
                <w:b/>
                <w:color w:val="0069A4"/>
                <w:sz w:val="17"/>
              </w:rPr>
              <w:t>The matter</w:t>
            </w:r>
          </w:p>
        </w:tc>
        <w:tc>
          <w:tcPr>
            <w:tcW w:type="dxa" w:w="6192"/>
          </w:tcPr>
          <w:p>
            <w:pPr>
              <w:spacing w:after="40"/>
              <w:shd w:val="clear" w:fill="E8F4FC"/>
            </w:pPr>
            <w:r/>
            <w:r>
              <w:rPr>
                <w:rFonts w:ascii="Calibri" w:hAnsi="Calibri"/>
                <w:b/>
                <w:color w:val="0069A4"/>
                <w:sz w:val="17"/>
              </w:rPr>
              <w:t>As the First Schedule puts it</w:t>
            </w:r>
          </w:p>
        </w:tc>
      </w:tr>
      <w:tr>
        <w:tc>
          <w:tcPr>
            <w:tcW w:type="dxa" w:w="576"/>
          </w:tcPr>
          <w:p>
            <w:pPr>
              <w:spacing w:after="40"/>
            </w:pPr>
            <w:r/>
            <w:r>
              <w:rPr>
                <w:rFonts w:ascii="Calibri" w:hAnsi="Calibri"/>
                <w:color w:val="565656"/>
                <w:sz w:val="17"/>
              </w:rPr>
              <w:t>1</w:t>
            </w:r>
          </w:p>
        </w:tc>
        <w:tc>
          <w:tcPr>
            <w:tcW w:type="dxa" w:w="2592"/>
          </w:tcPr>
          <w:p>
            <w:pPr>
              <w:spacing w:after="40"/>
            </w:pPr>
            <w:r/>
            <w:r>
              <w:rPr>
                <w:rFonts w:ascii="Calibri" w:hAnsi="Calibri"/>
                <w:color w:val="565656"/>
                <w:sz w:val="17"/>
              </w:rPr>
              <w:t>Classification of workers</w:t>
            </w:r>
          </w:p>
        </w:tc>
        <w:tc>
          <w:tcPr>
            <w:tcW w:type="dxa" w:w="6192"/>
          </w:tcPr>
          <w:p>
            <w:pPr>
              <w:spacing w:after="40"/>
            </w:pPr>
            <w:r/>
            <w:r>
              <w:rPr>
                <w:rFonts w:ascii="Calibri" w:hAnsi="Calibri"/>
                <w:color w:val="565656"/>
                <w:sz w:val="17"/>
              </w:rPr>
              <w:t>Whether permanent, temporary, apprentices, probationers, badlis or fixed term employment.</w:t>
            </w:r>
          </w:p>
        </w:tc>
      </w:tr>
      <w:tr>
        <w:tc>
          <w:tcPr>
            <w:tcW w:type="dxa" w:w="576"/>
          </w:tcPr>
          <w:p>
            <w:pPr>
              <w:spacing w:after="40"/>
            </w:pPr>
            <w:r/>
            <w:r>
              <w:rPr>
                <w:rFonts w:ascii="Calibri" w:hAnsi="Calibri"/>
                <w:color w:val="565656"/>
                <w:sz w:val="17"/>
              </w:rPr>
              <w:t>2</w:t>
            </w:r>
          </w:p>
        </w:tc>
        <w:tc>
          <w:tcPr>
            <w:tcW w:type="dxa" w:w="2592"/>
          </w:tcPr>
          <w:p>
            <w:pPr>
              <w:spacing w:after="40"/>
            </w:pPr>
            <w:r/>
            <w:r>
              <w:rPr>
                <w:rFonts w:ascii="Calibri" w:hAnsi="Calibri"/>
                <w:color w:val="565656"/>
                <w:sz w:val="17"/>
              </w:rPr>
              <w:t>How periods and hours are intimated</w:t>
            </w:r>
          </w:p>
        </w:tc>
        <w:tc>
          <w:tcPr>
            <w:tcW w:type="dxa" w:w="6192"/>
          </w:tcPr>
          <w:p>
            <w:pPr>
              <w:spacing w:after="40"/>
            </w:pPr>
            <w:r/>
            <w:r>
              <w:rPr>
                <w:rFonts w:ascii="Calibri" w:hAnsi="Calibri"/>
                <w:color w:val="565656"/>
                <w:sz w:val="17"/>
              </w:rPr>
              <w:t>Manner of intimating to workers periods and hours of work, holidays, pay-days and wage rates.</w:t>
            </w:r>
          </w:p>
        </w:tc>
      </w:tr>
      <w:tr>
        <w:tc>
          <w:tcPr>
            <w:tcW w:type="dxa" w:w="576"/>
          </w:tcPr>
          <w:p>
            <w:pPr>
              <w:spacing w:after="40"/>
            </w:pPr>
            <w:r/>
            <w:r>
              <w:rPr>
                <w:rFonts w:ascii="Calibri" w:hAnsi="Calibri"/>
                <w:color w:val="565656"/>
                <w:sz w:val="17"/>
              </w:rPr>
              <w:t>3</w:t>
            </w:r>
          </w:p>
        </w:tc>
        <w:tc>
          <w:tcPr>
            <w:tcW w:type="dxa" w:w="2592"/>
          </w:tcPr>
          <w:p>
            <w:pPr>
              <w:spacing w:after="40"/>
            </w:pPr>
            <w:r/>
            <w:r>
              <w:rPr>
                <w:rFonts w:ascii="Calibri" w:hAnsi="Calibri"/>
                <w:color w:val="565656"/>
                <w:sz w:val="17"/>
              </w:rPr>
              <w:t>Shift working</w:t>
            </w:r>
          </w:p>
        </w:tc>
        <w:tc>
          <w:tcPr>
            <w:tcW w:type="dxa" w:w="6192"/>
          </w:tcPr>
          <w:p>
            <w:pPr>
              <w:spacing w:after="40"/>
            </w:pPr>
            <w:r/>
            <w:r>
              <w:rPr>
                <w:rFonts w:ascii="Calibri" w:hAnsi="Calibri"/>
                <w:color w:val="565656"/>
                <w:sz w:val="17"/>
              </w:rPr>
              <w:t>Shift working.</w:t>
            </w:r>
          </w:p>
        </w:tc>
      </w:tr>
      <w:tr>
        <w:tc>
          <w:tcPr>
            <w:tcW w:type="dxa" w:w="576"/>
          </w:tcPr>
          <w:p>
            <w:pPr>
              <w:spacing w:after="40"/>
            </w:pPr>
            <w:r/>
            <w:r>
              <w:rPr>
                <w:rFonts w:ascii="Calibri" w:hAnsi="Calibri"/>
                <w:color w:val="565656"/>
                <w:sz w:val="17"/>
              </w:rPr>
              <w:t>4</w:t>
            </w:r>
          </w:p>
        </w:tc>
        <w:tc>
          <w:tcPr>
            <w:tcW w:type="dxa" w:w="2592"/>
          </w:tcPr>
          <w:p>
            <w:pPr>
              <w:spacing w:after="40"/>
            </w:pPr>
            <w:r/>
            <w:r>
              <w:rPr>
                <w:rFonts w:ascii="Calibri" w:hAnsi="Calibri"/>
                <w:color w:val="565656"/>
                <w:sz w:val="17"/>
              </w:rPr>
              <w:t>Attendance and late coming</w:t>
            </w:r>
          </w:p>
        </w:tc>
        <w:tc>
          <w:tcPr>
            <w:tcW w:type="dxa" w:w="6192"/>
          </w:tcPr>
          <w:p>
            <w:pPr>
              <w:spacing w:after="40"/>
            </w:pPr>
            <w:r/>
            <w:r>
              <w:rPr>
                <w:rFonts w:ascii="Calibri" w:hAnsi="Calibri"/>
                <w:color w:val="565656"/>
                <w:sz w:val="17"/>
              </w:rPr>
              <w:t>Attendance and late coming.</w:t>
            </w:r>
          </w:p>
        </w:tc>
      </w:tr>
      <w:tr>
        <w:tc>
          <w:tcPr>
            <w:tcW w:type="dxa" w:w="576"/>
          </w:tcPr>
          <w:p>
            <w:pPr>
              <w:spacing w:after="40"/>
            </w:pPr>
            <w:r/>
            <w:r>
              <w:rPr>
                <w:rFonts w:ascii="Calibri" w:hAnsi="Calibri"/>
                <w:color w:val="565656"/>
                <w:sz w:val="17"/>
              </w:rPr>
              <w:t>5</w:t>
            </w:r>
          </w:p>
        </w:tc>
        <w:tc>
          <w:tcPr>
            <w:tcW w:type="dxa" w:w="2592"/>
          </w:tcPr>
          <w:p>
            <w:pPr>
              <w:spacing w:after="40"/>
            </w:pPr>
            <w:r/>
            <w:r>
              <w:rPr>
                <w:rFonts w:ascii="Calibri" w:hAnsi="Calibri"/>
                <w:color w:val="565656"/>
                <w:sz w:val="17"/>
              </w:rPr>
              <w:t>Leave and holidays</w:t>
            </w:r>
          </w:p>
        </w:tc>
        <w:tc>
          <w:tcPr>
            <w:tcW w:type="dxa" w:w="6192"/>
          </w:tcPr>
          <w:p>
            <w:pPr>
              <w:spacing w:after="40"/>
            </w:pPr>
            <w:r/>
            <w:r>
              <w:rPr>
                <w:rFonts w:ascii="Calibri" w:hAnsi="Calibri"/>
                <w:color w:val="565656"/>
                <w:sz w:val="17"/>
              </w:rPr>
              <w:t>Conditions of, procedure in applying for, and the authority which may grant leave and holidays.</w:t>
            </w:r>
          </w:p>
        </w:tc>
      </w:tr>
      <w:tr>
        <w:tc>
          <w:tcPr>
            <w:tcW w:type="dxa" w:w="576"/>
          </w:tcPr>
          <w:p>
            <w:pPr>
              <w:spacing w:after="40"/>
            </w:pPr>
            <w:r/>
            <w:r>
              <w:rPr>
                <w:rFonts w:ascii="Calibri" w:hAnsi="Calibri"/>
                <w:color w:val="565656"/>
                <w:sz w:val="17"/>
              </w:rPr>
              <w:t>6</w:t>
            </w:r>
          </w:p>
        </w:tc>
        <w:tc>
          <w:tcPr>
            <w:tcW w:type="dxa" w:w="2592"/>
          </w:tcPr>
          <w:p>
            <w:pPr>
              <w:spacing w:after="40"/>
            </w:pPr>
            <w:r/>
            <w:r>
              <w:rPr>
                <w:rFonts w:ascii="Calibri" w:hAnsi="Calibri"/>
                <w:color w:val="565656"/>
                <w:sz w:val="17"/>
              </w:rPr>
              <w:t>Entry and search</w:t>
            </w:r>
          </w:p>
        </w:tc>
        <w:tc>
          <w:tcPr>
            <w:tcW w:type="dxa" w:w="6192"/>
          </w:tcPr>
          <w:p>
            <w:pPr>
              <w:spacing w:after="40"/>
            </w:pPr>
            <w:r/>
            <w:r>
              <w:rPr>
                <w:rFonts w:ascii="Calibri" w:hAnsi="Calibri"/>
                <w:color w:val="565656"/>
                <w:sz w:val="17"/>
              </w:rPr>
              <w:t>Requirement to enter premises by certain gates, and liability to search.</w:t>
            </w:r>
          </w:p>
        </w:tc>
      </w:tr>
      <w:tr>
        <w:tc>
          <w:tcPr>
            <w:tcW w:type="dxa" w:w="576"/>
          </w:tcPr>
          <w:p>
            <w:pPr>
              <w:spacing w:after="40"/>
            </w:pPr>
            <w:r/>
            <w:r>
              <w:rPr>
                <w:rFonts w:ascii="Calibri" w:hAnsi="Calibri"/>
                <w:color w:val="565656"/>
                <w:sz w:val="17"/>
              </w:rPr>
              <w:t>7</w:t>
            </w:r>
          </w:p>
        </w:tc>
        <w:tc>
          <w:tcPr>
            <w:tcW w:type="dxa" w:w="2592"/>
          </w:tcPr>
          <w:p>
            <w:pPr>
              <w:spacing w:after="40"/>
            </w:pPr>
            <w:r/>
            <w:r>
              <w:rPr>
                <w:rFonts w:ascii="Calibri" w:hAnsi="Calibri"/>
                <w:color w:val="565656"/>
                <w:sz w:val="17"/>
              </w:rPr>
              <w:t>Closing, stoppages and what follows</w:t>
            </w:r>
          </w:p>
        </w:tc>
        <w:tc>
          <w:tcPr>
            <w:tcW w:type="dxa" w:w="6192"/>
          </w:tcPr>
          <w:p>
            <w:pPr>
              <w:spacing w:after="40"/>
            </w:pPr>
            <w:r/>
            <w:r>
              <w:rPr>
                <w:rFonts w:ascii="Calibri" w:hAnsi="Calibri"/>
                <w:color w:val="565656"/>
                <w:sz w:val="17"/>
              </w:rPr>
              <w:t>Closing and reporting of sections of the industrial establishment, temporary stoppages of work and the rights and liabilities of the employer and workers arising therefrom.</w:t>
            </w:r>
          </w:p>
        </w:tc>
      </w:tr>
      <w:tr>
        <w:tc>
          <w:tcPr>
            <w:tcW w:type="dxa" w:w="576"/>
          </w:tcPr>
          <w:p>
            <w:pPr>
              <w:spacing w:after="40"/>
            </w:pPr>
            <w:r/>
            <w:r>
              <w:rPr>
                <w:rFonts w:ascii="Calibri" w:hAnsi="Calibri"/>
                <w:color w:val="565656"/>
                <w:sz w:val="17"/>
              </w:rPr>
              <w:t>8</w:t>
            </w:r>
          </w:p>
        </w:tc>
        <w:tc>
          <w:tcPr>
            <w:tcW w:type="dxa" w:w="2592"/>
          </w:tcPr>
          <w:p>
            <w:pPr>
              <w:spacing w:after="40"/>
            </w:pPr>
            <w:r/>
            <w:r>
              <w:rPr>
                <w:rFonts w:ascii="Calibri" w:hAnsi="Calibri"/>
                <w:color w:val="565656"/>
                <w:sz w:val="17"/>
              </w:rPr>
              <w:t>Termination and notice</w:t>
            </w:r>
          </w:p>
        </w:tc>
        <w:tc>
          <w:tcPr>
            <w:tcW w:type="dxa" w:w="6192"/>
          </w:tcPr>
          <w:p>
            <w:pPr>
              <w:spacing w:after="40"/>
            </w:pPr>
            <w:r/>
            <w:r>
              <w:rPr>
                <w:rFonts w:ascii="Calibri" w:hAnsi="Calibri"/>
                <w:color w:val="565656"/>
                <w:sz w:val="17"/>
              </w:rPr>
              <w:t>Termination of employment, and the notice thereof to be given by employer and workers.</w:t>
            </w:r>
          </w:p>
        </w:tc>
      </w:tr>
      <w:tr>
        <w:tc>
          <w:tcPr>
            <w:tcW w:type="dxa" w:w="576"/>
          </w:tcPr>
          <w:p>
            <w:pPr>
              <w:spacing w:after="40"/>
            </w:pPr>
            <w:r/>
            <w:r>
              <w:rPr>
                <w:rFonts w:ascii="Calibri" w:hAnsi="Calibri"/>
                <w:color w:val="565656"/>
                <w:sz w:val="17"/>
              </w:rPr>
              <w:t>9</w:t>
            </w:r>
          </w:p>
        </w:tc>
        <w:tc>
          <w:tcPr>
            <w:tcW w:type="dxa" w:w="2592"/>
          </w:tcPr>
          <w:p>
            <w:pPr>
              <w:spacing w:after="40"/>
            </w:pPr>
            <w:r/>
            <w:r>
              <w:rPr>
                <w:rFonts w:ascii="Calibri" w:hAnsi="Calibri"/>
                <w:color w:val="565656"/>
                <w:sz w:val="17"/>
              </w:rPr>
              <w:t>Misconduct, suspension and dismissal</w:t>
            </w:r>
          </w:p>
        </w:tc>
        <w:tc>
          <w:tcPr>
            <w:tcW w:type="dxa" w:w="6192"/>
          </w:tcPr>
          <w:p>
            <w:pPr>
              <w:spacing w:after="40"/>
            </w:pPr>
            <w:r/>
            <w:r>
              <w:rPr>
                <w:rFonts w:ascii="Calibri" w:hAnsi="Calibri"/>
                <w:color w:val="565656"/>
                <w:sz w:val="17"/>
              </w:rPr>
              <w:t>Suspension or dismissal for misconduct, and acts or omissions which constitute misconduct.</w:t>
            </w:r>
          </w:p>
        </w:tc>
      </w:tr>
      <w:tr>
        <w:tc>
          <w:tcPr>
            <w:tcW w:type="dxa" w:w="576"/>
          </w:tcPr>
          <w:p>
            <w:pPr>
              <w:spacing w:after="40"/>
            </w:pPr>
            <w:r/>
            <w:r>
              <w:rPr>
                <w:rFonts w:ascii="Calibri" w:hAnsi="Calibri"/>
                <w:color w:val="565656"/>
                <w:sz w:val="17"/>
              </w:rPr>
              <w:t>10</w:t>
            </w:r>
          </w:p>
        </w:tc>
        <w:tc>
          <w:tcPr>
            <w:tcW w:type="dxa" w:w="2592"/>
          </w:tcPr>
          <w:p>
            <w:pPr>
              <w:spacing w:after="40"/>
            </w:pPr>
            <w:r/>
            <w:r>
              <w:rPr>
                <w:rFonts w:ascii="Calibri" w:hAnsi="Calibri"/>
                <w:color w:val="565656"/>
                <w:sz w:val="17"/>
              </w:rPr>
              <w:t>Redress against unfair treatment</w:t>
            </w:r>
          </w:p>
        </w:tc>
        <w:tc>
          <w:tcPr>
            <w:tcW w:type="dxa" w:w="6192"/>
          </w:tcPr>
          <w:p>
            <w:pPr>
              <w:spacing w:after="40"/>
            </w:pPr>
            <w:r/>
            <w:r>
              <w:rPr>
                <w:rFonts w:ascii="Calibri" w:hAnsi="Calibri"/>
                <w:color w:val="565656"/>
                <w:sz w:val="17"/>
              </w:rPr>
              <w:t>Means of redress for workers against unfair treatment or wrongful exactions by the employer or his agents or servants.</w:t>
            </w:r>
          </w:p>
        </w:tc>
      </w:tr>
      <w:tr>
        <w:tc>
          <w:tcPr>
            <w:tcW w:type="dxa" w:w="576"/>
          </w:tcPr>
          <w:p>
            <w:pPr>
              <w:spacing w:after="40"/>
            </w:pPr>
            <w:r/>
            <w:r>
              <w:rPr>
                <w:rFonts w:ascii="Calibri" w:hAnsi="Calibri"/>
                <w:color w:val="565656"/>
                <w:sz w:val="17"/>
              </w:rPr>
              <w:t>11</w:t>
            </w:r>
          </w:p>
        </w:tc>
        <w:tc>
          <w:tcPr>
            <w:tcW w:type="dxa" w:w="2592"/>
          </w:tcPr>
          <w:p>
            <w:pPr>
              <w:spacing w:after="40"/>
            </w:pPr>
            <w:r/>
            <w:r>
              <w:rPr>
                <w:rFonts w:ascii="Calibri" w:hAnsi="Calibri"/>
                <w:color w:val="565656"/>
                <w:sz w:val="17"/>
              </w:rPr>
              <w:t>Anything else the Government notifies</w:t>
            </w:r>
          </w:p>
        </w:tc>
        <w:tc>
          <w:tcPr>
            <w:tcW w:type="dxa" w:w="6192"/>
          </w:tcPr>
          <w:p>
            <w:pPr>
              <w:spacing w:after="40"/>
            </w:pPr>
            <w:r/>
            <w:r>
              <w:rPr>
                <w:rFonts w:ascii="Calibri" w:hAnsi="Calibri"/>
                <w:color w:val="565656"/>
                <w:sz w:val="17"/>
              </w:rPr>
              <w:t>Any other matter which may be specified by the appropriate Government by notification.</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Item 11 is a standing invitation: any other matter the appropriate Government specifies by notification. Check for one before you assume the list is closed.</w:t>
      </w:r>
    </w:p>
    <w:p>
      <w:pPr>
        <w:spacing w:after="120"/>
        <w:ind w:left="288"/>
      </w:pPr>
      <w:r>
        <w:rPr>
          <w:rFonts w:ascii="Calibri" w:hAnsi="Calibri"/>
          <w:b/>
          <w:color w:val="0069A4"/>
          <w:sz w:val="17"/>
        </w:rPr>
        <w:t xml:space="preserve">Rests on  </w:t>
      </w:r>
      <w:r>
        <w:rPr>
          <w:rFonts w:ascii="Calibri" w:hAnsi="Calibri"/>
          <w:i/>
          <w:color w:val="565656"/>
          <w:sz w:val="17"/>
        </w:rPr>
        <w:t>IR Code, 2020, First Schedule, with s.30(1) and s.30(6)(a)</w:t>
      </w:r>
    </w:p>
    <w:p>
      <w:r>
        <w:br w:type="page"/>
      </w:r>
    </w:p>
    <w:p>
      <w:pPr>
        <w:pStyle w:val="Heading1"/>
        <w:keepNext/>
        <w:spacing w:after="200" w:before="80"/>
        <w:ind w:left="115"/>
        <w:shd w:val="clear" w:fill="008CDB"/>
      </w:pPr>
      <w:r>
        <w:rPr>
          <w:rFonts w:ascii="Calibri" w:hAnsi="Calibri"/>
          <w:b/>
          <w:color w:val="FFFFFF"/>
          <w:sz w:val="22"/>
        </w:rPr>
        <w:t>5  ·  EVERY CLOCK IN CHAPTER IV</w:t>
      </w:r>
    </w:p>
    <w:p>
      <w:pPr>
        <w:keepNext w:val="0"/>
        <w:spacing w:after="200" w:before="0"/>
      </w:pPr>
      <w:r>
        <w:rPr>
          <w:rFonts w:ascii="Calibri" w:hAnsi="Calibri"/>
          <w:b w:val="0"/>
          <w:i w:val="0"/>
          <w:color w:val="1D1D1D"/>
          <w:sz w:val="21"/>
        </w:rPr>
        <w:t>Nine of them. The third is the one almost nobody knows, and it runs in your favour.</w:t>
      </w:r>
    </w:p>
    <w:tbl>
      <w:tblPr>
        <w:tblStyle w:val="TableGrid"/>
        <w:tblW w:type="auto" w:w="0"/>
        <w:tblLook w:firstColumn="1" w:firstRow="1" w:lastColumn="0" w:lastRow="0" w:noHBand="0" w:noVBand="1" w:val="04A0"/>
      </w:tblPr>
      <w:tblGrid>
        <w:gridCol w:w="3216"/>
        <w:gridCol w:w="3216"/>
        <w:gridCol w:w="3216"/>
      </w:tblGrid>
      <w:tr>
        <w:tc>
          <w:tcPr>
            <w:tcW w:type="dxa" w:w="2448"/>
          </w:tcPr>
          <w:p>
            <w:pPr>
              <w:spacing w:after="40"/>
              <w:shd w:val="clear" w:fill="E8F4FC"/>
            </w:pPr>
            <w:r/>
            <w:r>
              <w:rPr>
                <w:rFonts w:ascii="Calibri" w:hAnsi="Calibri"/>
                <w:b/>
                <w:color w:val="0069A4"/>
                <w:sz w:val="17"/>
              </w:rPr>
              <w:t>The clock</w:t>
            </w:r>
          </w:p>
        </w:tc>
        <w:tc>
          <w:tcPr>
            <w:tcW w:type="dxa" w:w="5184"/>
          </w:tcPr>
          <w:p>
            <w:pPr>
              <w:spacing w:after="40"/>
              <w:shd w:val="clear" w:fill="E8F4FC"/>
            </w:pPr>
            <w:r/>
            <w:r>
              <w:rPr>
                <w:rFonts w:ascii="Calibri" w:hAnsi="Calibri"/>
                <w:b/>
                <w:color w:val="0069A4"/>
                <w:sz w:val="17"/>
              </w:rPr>
              <w:t>What it does</w:t>
            </w:r>
          </w:p>
        </w:tc>
        <w:tc>
          <w:tcPr>
            <w:tcW w:type="dxa" w:w="1872"/>
          </w:tcPr>
          <w:p>
            <w:pPr>
              <w:spacing w:after="40"/>
              <w:shd w:val="clear" w:fill="E8F4FC"/>
            </w:pPr>
            <w:r/>
            <w:r>
              <w:rPr>
                <w:rFonts w:ascii="Calibri" w:hAnsi="Calibri"/>
                <w:b/>
                <w:color w:val="0069A4"/>
                <w:sz w:val="17"/>
              </w:rPr>
              <w:t>Provision</w:t>
            </w:r>
          </w:p>
        </w:tc>
      </w:tr>
      <w:tr>
        <w:tc>
          <w:tcPr>
            <w:tcW w:type="dxa" w:w="2448"/>
          </w:tcPr>
          <w:p>
            <w:pPr>
              <w:spacing w:after="40"/>
            </w:pPr>
            <w:r/>
            <w:r>
              <w:rPr>
                <w:rFonts w:ascii="Calibri" w:hAnsi="Calibri"/>
                <w:color w:val="565656"/>
                <w:sz w:val="17"/>
              </w:rPr>
              <w:t>Six months to draft</w:t>
            </w:r>
          </w:p>
        </w:tc>
        <w:tc>
          <w:tcPr>
            <w:tcW w:type="dxa" w:w="5184"/>
          </w:tcPr>
          <w:p>
            <w:pPr>
              <w:spacing w:after="40"/>
            </w:pPr>
            <w:r/>
            <w:r>
              <w:rPr>
                <w:rFonts w:ascii="Calibri" w:hAnsi="Calibri"/>
                <w:color w:val="565656"/>
                <w:sz w:val="17"/>
              </w:rPr>
              <w:t>From the commencement of the Code, to prepare the draft standing orders. The Code commenced on 21-Nov-2025, so this ran out on 21-May-2026.</w:t>
            </w:r>
          </w:p>
        </w:tc>
        <w:tc>
          <w:tcPr>
            <w:tcW w:type="dxa" w:w="1872"/>
          </w:tcPr>
          <w:p>
            <w:pPr>
              <w:spacing w:after="40"/>
            </w:pPr>
            <w:r/>
            <w:r>
              <w:rPr>
                <w:rFonts w:ascii="Calibri" w:hAnsi="Calibri"/>
                <w:color w:val="565656"/>
                <w:sz w:val="17"/>
              </w:rPr>
              <w:t>s.30(1)</w:t>
            </w:r>
          </w:p>
        </w:tc>
      </w:tr>
      <w:tr>
        <w:tc>
          <w:tcPr>
            <w:tcW w:type="dxa" w:w="2448"/>
          </w:tcPr>
          <w:p>
            <w:pPr>
              <w:spacing w:after="40"/>
            </w:pPr>
            <w:r/>
            <w:r>
              <w:rPr>
                <w:rFonts w:ascii="Calibri" w:hAnsi="Calibri"/>
                <w:color w:val="565656"/>
                <w:sz w:val="17"/>
              </w:rPr>
              <w:t>Six months for modifications</w:t>
            </w:r>
          </w:p>
        </w:tc>
        <w:tc>
          <w:tcPr>
            <w:tcW w:type="dxa" w:w="5184"/>
          </w:tcPr>
          <w:p>
            <w:pPr>
              <w:spacing w:after="40"/>
            </w:pPr>
            <w:r/>
            <w:r>
              <w:rPr>
                <w:rFonts w:ascii="Calibri" w:hAnsi="Calibri"/>
                <w:color w:val="565656"/>
                <w:sz w:val="17"/>
              </w:rPr>
              <w:t>To forward the draft of any modifications required, from the date the Chapter became applicable to your establishment.</w:t>
            </w:r>
          </w:p>
        </w:tc>
        <w:tc>
          <w:tcPr>
            <w:tcW w:type="dxa" w:w="1872"/>
          </w:tcPr>
          <w:p>
            <w:pPr>
              <w:spacing w:after="40"/>
            </w:pPr>
            <w:r/>
            <w:r>
              <w:rPr>
                <w:rFonts w:ascii="Calibri" w:hAnsi="Calibri"/>
                <w:color w:val="565656"/>
                <w:sz w:val="17"/>
              </w:rPr>
              <w:t>s.30(4)</w:t>
            </w:r>
          </w:p>
        </w:tc>
      </w:tr>
      <w:tr>
        <w:tc>
          <w:tcPr>
            <w:tcW w:type="dxa" w:w="2448"/>
          </w:tcPr>
          <w:p>
            <w:pPr>
              <w:spacing w:after="40"/>
            </w:pPr>
            <w:r/>
            <w:r>
              <w:rPr>
                <w:rFonts w:ascii="Calibri" w:hAnsi="Calibri"/>
                <w:color w:val="565656"/>
                <w:sz w:val="17"/>
              </w:rPr>
              <w:t>Sixty days, or it is deemed certified</w:t>
            </w:r>
          </w:p>
        </w:tc>
        <w:tc>
          <w:tcPr>
            <w:tcW w:type="dxa" w:w="5184"/>
          </w:tcPr>
          <w:p>
            <w:pPr>
              <w:spacing w:after="40"/>
            </w:pPr>
            <w:r/>
            <w:r>
              <w:rPr>
                <w:rFonts w:ascii="Calibri" w:hAnsi="Calibri"/>
                <w:color w:val="565656"/>
                <w:sz w:val="17"/>
              </w:rPr>
              <w:t>The certifying officer must complete certification within sixty days of receiving the draft, and sixty days of receiving draft modifications. FAILING WHICH the draft is deemed to have been certified on expiry. Silence from the officer is not a problem, it is an outcome.</w:t>
            </w:r>
          </w:p>
        </w:tc>
        <w:tc>
          <w:tcPr>
            <w:tcW w:type="dxa" w:w="1872"/>
          </w:tcPr>
          <w:p>
            <w:pPr>
              <w:spacing w:after="40"/>
            </w:pPr>
            <w:r/>
            <w:r>
              <w:rPr>
                <w:rFonts w:ascii="Calibri" w:hAnsi="Calibri"/>
                <w:color w:val="565656"/>
                <w:sz w:val="17"/>
              </w:rPr>
              <w:t>s.30(5) proviso</w:t>
            </w:r>
          </w:p>
        </w:tc>
      </w:tr>
      <w:tr>
        <w:tc>
          <w:tcPr>
            <w:tcW w:type="dxa" w:w="2448"/>
          </w:tcPr>
          <w:p>
            <w:pPr>
              <w:spacing w:after="40"/>
            </w:pPr>
            <w:r/>
            <w:r>
              <w:rPr>
                <w:rFonts w:ascii="Calibri" w:hAnsi="Calibri"/>
                <w:color w:val="565656"/>
                <w:sz w:val="17"/>
              </w:rPr>
              <w:t>Seven days to send copies</w:t>
            </w:r>
          </w:p>
        </w:tc>
        <w:tc>
          <w:tcPr>
            <w:tcW w:type="dxa" w:w="5184"/>
          </w:tcPr>
          <w:p>
            <w:pPr>
              <w:spacing w:after="40"/>
            </w:pPr>
            <w:r/>
            <w:r>
              <w:rPr>
                <w:rFonts w:ascii="Calibri" w:hAnsi="Calibri"/>
                <w:color w:val="565656"/>
                <w:sz w:val="17"/>
              </w:rPr>
              <w:t>After certifying, the officer sends authenticated copies to the employer and to the union or worker representatives.</w:t>
            </w:r>
          </w:p>
        </w:tc>
        <w:tc>
          <w:tcPr>
            <w:tcW w:type="dxa" w:w="1872"/>
          </w:tcPr>
          <w:p>
            <w:pPr>
              <w:spacing w:after="40"/>
            </w:pPr>
            <w:r/>
            <w:r>
              <w:rPr>
                <w:rFonts w:ascii="Calibri" w:hAnsi="Calibri"/>
                <w:color w:val="565656"/>
                <w:sz w:val="17"/>
              </w:rPr>
              <w:t>s.30(8)</w:t>
            </w:r>
          </w:p>
        </w:tc>
      </w:tr>
      <w:tr>
        <w:tc>
          <w:tcPr>
            <w:tcW w:type="dxa" w:w="2448"/>
          </w:tcPr>
          <w:p>
            <w:pPr>
              <w:spacing w:after="40"/>
            </w:pPr>
            <w:r/>
            <w:r>
              <w:rPr>
                <w:rFonts w:ascii="Calibri" w:hAnsi="Calibri"/>
                <w:color w:val="565656"/>
                <w:sz w:val="17"/>
              </w:rPr>
              <w:t>Thirty days to come into operation</w:t>
            </w:r>
          </w:p>
        </w:tc>
        <w:tc>
          <w:tcPr>
            <w:tcW w:type="dxa" w:w="5184"/>
          </w:tcPr>
          <w:p>
            <w:pPr>
              <w:spacing w:after="40"/>
            </w:pPr>
            <w:r/>
            <w:r>
              <w:rPr>
                <w:rFonts w:ascii="Calibri" w:hAnsi="Calibri"/>
                <w:color w:val="565656"/>
                <w:sz w:val="17"/>
              </w:rPr>
              <w:t>Certified standing orders come into operation on the expiry of thirty days from the date those copies are sent, unless an appeal is filed.</w:t>
            </w:r>
          </w:p>
        </w:tc>
        <w:tc>
          <w:tcPr>
            <w:tcW w:type="dxa" w:w="1872"/>
          </w:tcPr>
          <w:p>
            <w:pPr>
              <w:spacing w:after="40"/>
            </w:pPr>
            <w:r/>
            <w:r>
              <w:rPr>
                <w:rFonts w:ascii="Calibri" w:hAnsi="Calibri"/>
                <w:color w:val="565656"/>
                <w:sz w:val="17"/>
              </w:rPr>
              <w:t>s.33(1)</w:t>
            </w:r>
          </w:p>
        </w:tc>
      </w:tr>
      <w:tr>
        <w:tc>
          <w:tcPr>
            <w:tcW w:type="dxa" w:w="2448"/>
          </w:tcPr>
          <w:p>
            <w:pPr>
              <w:spacing w:after="40"/>
            </w:pPr>
            <w:r/>
            <w:r>
              <w:rPr>
                <w:rFonts w:ascii="Calibri" w:hAnsi="Calibri"/>
                <w:color w:val="565656"/>
                <w:sz w:val="17"/>
              </w:rPr>
              <w:t>Seven days, if it went to appeal</w:t>
            </w:r>
          </w:p>
        </w:tc>
        <w:tc>
          <w:tcPr>
            <w:tcW w:type="dxa" w:w="5184"/>
          </w:tcPr>
          <w:p>
            <w:pPr>
              <w:spacing w:after="40"/>
            </w:pPr>
            <w:r/>
            <w:r>
              <w:rPr>
                <w:rFonts w:ascii="Calibri" w:hAnsi="Calibri"/>
                <w:color w:val="565656"/>
                <w:sz w:val="17"/>
              </w:rPr>
              <w:t>Where an appeal was preferred, they come into operation seven days after copies of the appellate order are sent.</w:t>
            </w:r>
          </w:p>
        </w:tc>
        <w:tc>
          <w:tcPr>
            <w:tcW w:type="dxa" w:w="1872"/>
          </w:tcPr>
          <w:p>
            <w:pPr>
              <w:spacing w:after="40"/>
            </w:pPr>
            <w:r/>
            <w:r>
              <w:rPr>
                <w:rFonts w:ascii="Calibri" w:hAnsi="Calibri"/>
                <w:color w:val="565656"/>
                <w:sz w:val="17"/>
              </w:rPr>
              <w:t>s.33(1)</w:t>
            </w:r>
          </w:p>
        </w:tc>
      </w:tr>
      <w:tr>
        <w:tc>
          <w:tcPr>
            <w:tcW w:type="dxa" w:w="2448"/>
          </w:tcPr>
          <w:p>
            <w:pPr>
              <w:spacing w:after="40"/>
            </w:pPr>
            <w:r/>
            <w:r>
              <w:rPr>
                <w:rFonts w:ascii="Calibri" w:hAnsi="Calibri"/>
                <w:color w:val="565656"/>
                <w:sz w:val="17"/>
              </w:rPr>
              <w:t>Sixty days to appeal</w:t>
            </w:r>
          </w:p>
        </w:tc>
        <w:tc>
          <w:tcPr>
            <w:tcW w:type="dxa" w:w="5184"/>
          </w:tcPr>
          <w:p>
            <w:pPr>
              <w:spacing w:after="40"/>
            </w:pPr>
            <w:r/>
            <w:r>
              <w:rPr>
                <w:rFonts w:ascii="Calibri" w:hAnsi="Calibri"/>
                <w:color w:val="565656"/>
                <w:sz w:val="17"/>
              </w:rPr>
              <w:t>An employer, Trade Union, negotiating union or council, or a representative body of workers may appeal within sixty days of receiving the certifying officer's order.</w:t>
            </w:r>
          </w:p>
        </w:tc>
        <w:tc>
          <w:tcPr>
            <w:tcW w:type="dxa" w:w="1872"/>
          </w:tcPr>
          <w:p>
            <w:pPr>
              <w:spacing w:after="40"/>
            </w:pPr>
            <w:r/>
            <w:r>
              <w:rPr>
                <w:rFonts w:ascii="Calibri" w:hAnsi="Calibri"/>
                <w:color w:val="565656"/>
                <w:sz w:val="17"/>
              </w:rPr>
              <w:t>s.32</w:t>
            </w:r>
          </w:p>
        </w:tc>
      </w:tr>
      <w:tr>
        <w:tc>
          <w:tcPr>
            <w:tcW w:type="dxa" w:w="2448"/>
          </w:tcPr>
          <w:p>
            <w:pPr>
              <w:spacing w:after="40"/>
            </w:pPr>
            <w:r/>
            <w:r>
              <w:rPr>
                <w:rFonts w:ascii="Calibri" w:hAnsi="Calibri"/>
                <w:color w:val="565656"/>
                <w:sz w:val="17"/>
              </w:rPr>
              <w:t>Six months before you can change them</w:t>
            </w:r>
          </w:p>
        </w:tc>
        <w:tc>
          <w:tcPr>
            <w:tcW w:type="dxa" w:w="5184"/>
          </w:tcPr>
          <w:p>
            <w:pPr>
              <w:spacing w:after="40"/>
            </w:pPr>
            <w:r/>
            <w:r>
              <w:rPr>
                <w:rFonts w:ascii="Calibri" w:hAnsi="Calibri"/>
                <w:color w:val="565656"/>
                <w:sz w:val="17"/>
              </w:rPr>
              <w:t>Certified standing orders cannot be modified until six months from when they, or the last modification, came into operation, EXCEPT by agreement between the employer and the workers or their union.</w:t>
            </w:r>
          </w:p>
        </w:tc>
        <w:tc>
          <w:tcPr>
            <w:tcW w:type="dxa" w:w="1872"/>
          </w:tcPr>
          <w:p>
            <w:pPr>
              <w:spacing w:after="40"/>
            </w:pPr>
            <w:r/>
            <w:r>
              <w:rPr>
                <w:rFonts w:ascii="Calibri" w:hAnsi="Calibri"/>
                <w:color w:val="565656"/>
                <w:sz w:val="17"/>
              </w:rPr>
              <w:t>s.35(1)</w:t>
            </w:r>
          </w:p>
        </w:tc>
      </w:tr>
      <w:tr>
        <w:tc>
          <w:tcPr>
            <w:tcW w:type="dxa" w:w="2448"/>
          </w:tcPr>
          <w:p>
            <w:pPr>
              <w:spacing w:after="40"/>
            </w:pPr>
            <w:r/>
            <w:r>
              <w:rPr>
                <w:rFonts w:ascii="Calibri" w:hAnsi="Calibri"/>
                <w:color w:val="565656"/>
                <w:sz w:val="17"/>
              </w:rPr>
              <w:t>Thirty days on the ADOPTION route</w:t>
            </w:r>
          </w:p>
        </w:tc>
        <w:tc>
          <w:tcPr>
            <w:tcW w:type="dxa" w:w="5184"/>
          </w:tcPr>
          <w:p>
            <w:pPr>
              <w:spacing w:after="40"/>
            </w:pPr>
            <w:r/>
            <w:r>
              <w:rPr>
                <w:rFonts w:ascii="Calibri" w:hAnsi="Calibri"/>
                <w:color w:val="565656"/>
                <w:sz w:val="17"/>
              </w:rPr>
              <w:t>Where you adopt the Model Standing Orders, rule 10(5) deems them certified if the certifying officer makes no observation within thirty days of your information. It is HIS window, not your wait: the orders are in force from your adoption date under rule 10(6). This is a different clock from the sixty days below.</w:t>
            </w:r>
          </w:p>
        </w:tc>
        <w:tc>
          <w:tcPr>
            <w:tcW w:type="dxa" w:w="1872"/>
          </w:tcPr>
          <w:p>
            <w:pPr>
              <w:spacing w:after="40"/>
            </w:pPr>
            <w:r/>
            <w:r>
              <w:rPr>
                <w:rFonts w:ascii="Calibri" w:hAnsi="Calibri"/>
                <w:color w:val="565656"/>
                <w:sz w:val="17"/>
              </w:rPr>
              <w:t>rule 10(5)</w:t>
            </w:r>
          </w:p>
        </w:tc>
      </w:tr>
      <w:tr>
        <w:tc>
          <w:tcPr>
            <w:tcW w:type="dxa" w:w="2448"/>
          </w:tcPr>
          <w:p>
            <w:pPr>
              <w:spacing w:after="40"/>
            </w:pPr>
            <w:r/>
            <w:r>
              <w:rPr>
                <w:rFonts w:ascii="Calibri" w:hAnsi="Calibri"/>
                <w:color w:val="565656"/>
                <w:sz w:val="17"/>
              </w:rPr>
              <w:t>Thirty days to comply with an observation</w:t>
            </w:r>
          </w:p>
        </w:tc>
        <w:tc>
          <w:tcPr>
            <w:tcW w:type="dxa" w:w="5184"/>
          </w:tcPr>
          <w:p>
            <w:pPr>
              <w:spacing w:after="40"/>
            </w:pPr>
            <w:r/>
            <w:r>
              <w:rPr>
                <w:rFonts w:ascii="Calibri" w:hAnsi="Calibri"/>
                <w:color w:val="565656"/>
                <w:sz w:val="17"/>
              </w:rPr>
              <w:t>Where the officer does observe that your activities are not covered, he directs inclusion within thirty days of his receipt, and you comply within thirty days of the direction and send a compliance report.</w:t>
            </w:r>
          </w:p>
        </w:tc>
        <w:tc>
          <w:tcPr>
            <w:tcW w:type="dxa" w:w="1872"/>
          </w:tcPr>
          <w:p>
            <w:pPr>
              <w:spacing w:after="40"/>
            </w:pPr>
            <w:r/>
            <w:r>
              <w:rPr>
                <w:rFonts w:ascii="Calibri" w:hAnsi="Calibri"/>
                <w:color w:val="565656"/>
                <w:sz w:val="17"/>
              </w:rPr>
              <w:t>rule 10(4)</w:t>
            </w:r>
          </w:p>
        </w:tc>
      </w:tr>
      <w:tr>
        <w:tc>
          <w:tcPr>
            <w:tcW w:type="dxa" w:w="2448"/>
          </w:tcPr>
          <w:p>
            <w:pPr>
              <w:spacing w:after="40"/>
            </w:pPr>
            <w:r/>
            <w:r>
              <w:rPr>
                <w:rFonts w:ascii="Calibri" w:hAnsi="Calibri"/>
                <w:color w:val="565656"/>
                <w:sz w:val="17"/>
              </w:rPr>
              <w:t>Fifteen days for comments</w:t>
            </w:r>
          </w:p>
        </w:tc>
        <w:tc>
          <w:tcPr>
            <w:tcW w:type="dxa" w:w="5184"/>
          </w:tcPr>
          <w:p>
            <w:pPr>
              <w:spacing w:after="40"/>
            </w:pPr>
            <w:r/>
            <w:r>
              <w:rPr>
                <w:rFonts w:ascii="Calibri" w:hAnsi="Calibri"/>
                <w:color w:val="565656"/>
                <w:sz w:val="17"/>
              </w:rPr>
              <w:t>The Trade Union, or the representatives the certifying officer has the workers choose where there is none, have fifteen days from receipt of the notice to comment on the draft.</w:t>
            </w:r>
          </w:p>
        </w:tc>
        <w:tc>
          <w:tcPr>
            <w:tcW w:type="dxa" w:w="1872"/>
          </w:tcPr>
          <w:p>
            <w:pPr>
              <w:spacing w:after="40"/>
            </w:pPr>
            <w:r/>
            <w:r>
              <w:rPr>
                <w:rFonts w:ascii="Calibri" w:hAnsi="Calibri"/>
                <w:color w:val="565656"/>
                <w:sz w:val="17"/>
              </w:rPr>
              <w:t>rule 11</w:t>
            </w:r>
          </w:p>
        </w:tc>
      </w:tr>
      <w:tr>
        <w:tc>
          <w:tcPr>
            <w:tcW w:type="dxa" w:w="2448"/>
          </w:tcPr>
          <w:p>
            <w:pPr>
              <w:spacing w:after="40"/>
            </w:pPr>
            <w:r/>
            <w:r>
              <w:rPr>
                <w:rFonts w:ascii="Calibri" w:hAnsi="Calibri"/>
                <w:color w:val="565656"/>
                <w:sz w:val="17"/>
              </w:rPr>
              <w:t>Three days to serve an appellate order</w:t>
            </w:r>
          </w:p>
        </w:tc>
        <w:tc>
          <w:tcPr>
            <w:tcW w:type="dxa" w:w="5184"/>
          </w:tcPr>
          <w:p>
            <w:pPr>
              <w:spacing w:after="40"/>
            </w:pPr>
            <w:r/>
            <w:r>
              <w:rPr>
                <w:rFonts w:ascii="Calibri" w:hAnsi="Calibri"/>
                <w:color w:val="565656"/>
                <w:sz w:val="17"/>
              </w:rPr>
              <w:t>The appellate authority's order is served electronically or otherwise within three days of disposing of the appeal.</w:t>
            </w:r>
          </w:p>
        </w:tc>
        <w:tc>
          <w:tcPr>
            <w:tcW w:type="dxa" w:w="1872"/>
          </w:tcPr>
          <w:p>
            <w:pPr>
              <w:spacing w:after="40"/>
            </w:pPr>
            <w:r/>
            <w:r>
              <w:rPr>
                <w:rFonts w:ascii="Calibri" w:hAnsi="Calibri"/>
                <w:color w:val="565656"/>
                <w:sz w:val="17"/>
              </w:rPr>
              <w:t>rule 16(1)</w:t>
            </w:r>
          </w:p>
        </w:tc>
      </w:tr>
      <w:tr>
        <w:tc>
          <w:tcPr>
            <w:tcW w:type="dxa" w:w="2448"/>
          </w:tcPr>
          <w:p>
            <w:pPr>
              <w:spacing w:after="40"/>
            </w:pPr>
            <w:r/>
            <w:r>
              <w:rPr>
                <w:rFonts w:ascii="Calibri" w:hAnsi="Calibri"/>
                <w:color w:val="565656"/>
                <w:sz w:val="17"/>
              </w:rPr>
              <w:t>Ninety days for an inquiry</w:t>
            </w:r>
          </w:p>
        </w:tc>
        <w:tc>
          <w:tcPr>
            <w:tcW w:type="dxa" w:w="5184"/>
          </w:tcPr>
          <w:p>
            <w:pPr>
              <w:spacing w:after="40"/>
            </w:pPr>
            <w:r/>
            <w:r>
              <w:rPr>
                <w:rFonts w:ascii="Calibri" w:hAnsi="Calibri"/>
                <w:color w:val="565656"/>
                <w:sz w:val="17"/>
              </w:rPr>
              <w:t>Where a worker is suspended pending investigation or inquiry into misconduct, the investigation or inquiry, or both, shall ordinarily be completed within ninety days of the suspension.</w:t>
            </w:r>
          </w:p>
        </w:tc>
        <w:tc>
          <w:tcPr>
            <w:tcW w:type="dxa" w:w="1872"/>
          </w:tcPr>
          <w:p>
            <w:pPr>
              <w:spacing w:after="40"/>
            </w:pPr>
            <w:r/>
            <w:r>
              <w:rPr>
                <w:rFonts w:ascii="Calibri" w:hAnsi="Calibri"/>
                <w:color w:val="565656"/>
                <w:sz w:val="17"/>
              </w:rPr>
              <w:t>s.38(1)</w:t>
            </w:r>
          </w:p>
        </w:tc>
      </w:tr>
    </w:tbl>
    <w:p>
      <w:pPr>
        <w:keepNext w:val="0"/>
        <w:spacing w:after="200" w:before="0"/>
      </w:pPr>
      <w:r>
        <w:rPr>
          <w:rFonts w:ascii="Calibri" w:hAnsi="Calibri"/>
          <w:b w:val="0"/>
          <w:i w:val="0"/>
          <w:color w:val="1D1D1D"/>
          <w:sz w:val="21"/>
        </w:rPr>
      </w:r>
    </w:p>
    <w:p>
      <w:pPr>
        <w:keepNext w:val="0"/>
        <w:spacing w:after="200" w:before="0"/>
        <w:ind w:left="173"/>
        <w:shd w:val="clear" w:fill="FFF6E5"/>
      </w:pPr>
      <w:r>
        <w:rPr>
          <w:rFonts w:ascii="Calibri" w:hAnsi="Calibri"/>
          <w:b w:val="0"/>
          <w:i w:val="0"/>
          <w:color w:val="1D1D1D"/>
          <w:sz w:val="20"/>
        </w:rPr>
        <w:t>The proviso to section 30(5) says the certifying officer shall complete the procedure within sixty days of receiving the draft, FAILING WHICH the draft standing orders shall be deemed to have been certified on the expiry of that period. An officer who does not answer has not blocked you. Diarise the sixtieth day and keep proof of what you sent and when.</w:t>
      </w:r>
    </w:p>
    <w:p>
      <w:pPr>
        <w:keepNext w:val="0"/>
        <w:spacing w:after="80" w:before="0"/>
      </w:pPr>
      <w:r>
        <w:rPr>
          <w:rFonts w:ascii="Calibri" w:hAnsi="Calibri"/>
          <w:b/>
          <w:i w:val="0"/>
          <w:color w:val="1D1D1D"/>
          <w:sz w:val="22"/>
        </w:rPr>
        <w:t>And the subsistence allowance the orders must carry</w:t>
      </w:r>
    </w:p>
    <w:p>
      <w:pPr>
        <w:keepNext w:val="0"/>
        <w:spacing w:after="160" w:before="0"/>
      </w:pPr>
      <w:r>
        <w:rPr>
          <w:rFonts w:ascii="Calibri" w:hAnsi="Calibri"/>
          <w:b w:val="0"/>
          <w:i w:val="0"/>
          <w:color w:val="1D1D1D"/>
          <w:sz w:val="20"/>
        </w:rPr>
        <w:t>Section 38(2) says the standing orders SHALL provide for it where a worker is suspended pending investigation or inquiry. The rates are not yours to set.</w:t>
      </w:r>
    </w:p>
    <w:tbl>
      <w:tblPr>
        <w:tblStyle w:val="TableGrid"/>
        <w:tblW w:type="auto" w:w="0"/>
        <w:tblLook w:firstColumn="1" w:firstRow="1" w:lastColumn="0" w:lastRow="0" w:noHBand="0" w:noVBand="1" w:val="04A0"/>
      </w:tblPr>
      <w:tblGrid>
        <w:gridCol w:w="3216"/>
        <w:gridCol w:w="3216"/>
        <w:gridCol w:w="3216"/>
      </w:tblGrid>
      <w:tr>
        <w:tc>
          <w:tcPr>
            <w:tcW w:type="dxa" w:w="2448"/>
          </w:tcPr>
          <w:p>
            <w:pPr>
              <w:spacing w:after="40"/>
              <w:shd w:val="clear" w:fill="E8F4FC"/>
            </w:pPr>
            <w:r/>
            <w:r>
              <w:rPr>
                <w:rFonts w:ascii="Calibri" w:hAnsi="Calibri"/>
                <w:b/>
                <w:color w:val="0069A4"/>
                <w:sz w:val="17"/>
              </w:rPr>
              <w:t>Period of suspension</w:t>
            </w:r>
          </w:p>
        </w:tc>
        <w:tc>
          <w:tcPr>
            <w:tcW w:type="dxa" w:w="5184"/>
          </w:tcPr>
          <w:p>
            <w:pPr>
              <w:spacing w:after="40"/>
              <w:shd w:val="clear" w:fill="E8F4FC"/>
            </w:pPr>
            <w:r/>
            <w:r>
              <w:rPr>
                <w:rFonts w:ascii="Calibri" w:hAnsi="Calibri"/>
                <w:b/>
                <w:color w:val="0069A4"/>
                <w:sz w:val="17"/>
              </w:rPr>
              <w:t>What section 38(3) fixes</w:t>
            </w:r>
          </w:p>
        </w:tc>
        <w:tc>
          <w:tcPr>
            <w:tcW w:type="dxa" w:w="1872"/>
          </w:tcPr>
          <w:p>
            <w:pPr>
              <w:spacing w:after="40"/>
              <w:shd w:val="clear" w:fill="E8F4FC"/>
            </w:pPr>
            <w:r/>
            <w:r>
              <w:rPr>
                <w:rFonts w:ascii="Calibri" w:hAnsi="Calibri"/>
                <w:b/>
                <w:color w:val="0069A4"/>
                <w:sz w:val="17"/>
              </w:rPr>
              <w:t>Provision</w:t>
            </w:r>
          </w:p>
        </w:tc>
      </w:tr>
      <w:tr>
        <w:tc>
          <w:tcPr>
            <w:tcW w:type="dxa" w:w="2448"/>
          </w:tcPr>
          <w:p>
            <w:pPr>
              <w:spacing w:after="40"/>
            </w:pPr>
            <w:r/>
            <w:r>
              <w:rPr>
                <w:rFonts w:ascii="Calibri" w:hAnsi="Calibri"/>
                <w:color w:val="565656"/>
                <w:sz w:val="17"/>
              </w:rPr>
              <w:t>First ninety days of suspension</w:t>
            </w:r>
          </w:p>
        </w:tc>
        <w:tc>
          <w:tcPr>
            <w:tcW w:type="dxa" w:w="5184"/>
          </w:tcPr>
          <w:p>
            <w:pPr>
              <w:spacing w:after="40"/>
            </w:pPr>
            <w:r/>
            <w:r>
              <w:rPr>
                <w:rFonts w:ascii="Calibri" w:hAnsi="Calibri"/>
                <w:color w:val="565656"/>
                <w:sz w:val="17"/>
              </w:rPr>
              <w:t>Fifty per cent of the wages the worker was entitled to immediately preceding the date of suspension.</w:t>
            </w:r>
          </w:p>
        </w:tc>
        <w:tc>
          <w:tcPr>
            <w:tcW w:type="dxa" w:w="1872"/>
          </w:tcPr>
          <w:p>
            <w:pPr>
              <w:spacing w:after="40"/>
            </w:pPr>
            <w:r/>
            <w:r>
              <w:rPr>
                <w:rFonts w:ascii="Calibri" w:hAnsi="Calibri"/>
                <w:color w:val="565656"/>
                <w:sz w:val="17"/>
              </w:rPr>
              <w:t>s.38(3)(a)</w:t>
            </w:r>
          </w:p>
        </w:tc>
      </w:tr>
      <w:tr>
        <w:tc>
          <w:tcPr>
            <w:tcW w:type="dxa" w:w="2448"/>
          </w:tcPr>
          <w:p>
            <w:pPr>
              <w:spacing w:after="40"/>
            </w:pPr>
            <w:r/>
            <w:r>
              <w:rPr>
                <w:rFonts w:ascii="Calibri" w:hAnsi="Calibri"/>
                <w:color w:val="565656"/>
                <w:sz w:val="17"/>
              </w:rPr>
              <w:t>The remaining period</w:t>
            </w:r>
          </w:p>
        </w:tc>
        <w:tc>
          <w:tcPr>
            <w:tcW w:type="dxa" w:w="5184"/>
          </w:tcPr>
          <w:p>
            <w:pPr>
              <w:spacing w:after="40"/>
            </w:pPr>
            <w:r/>
            <w:r>
              <w:rPr>
                <w:rFonts w:ascii="Calibri" w:hAnsi="Calibri"/>
                <w:color w:val="565656"/>
                <w:sz w:val="17"/>
              </w:rPr>
              <w:t>Seventy-five per cent of those wages, if the delay in completing the disciplinary proceedings is NOT directly attributable to the worker's own conduct.</w:t>
            </w:r>
          </w:p>
        </w:tc>
        <w:tc>
          <w:tcPr>
            <w:tcW w:type="dxa" w:w="1872"/>
          </w:tcPr>
          <w:p>
            <w:pPr>
              <w:spacing w:after="40"/>
            </w:pPr>
            <w:r/>
            <w:r>
              <w:rPr>
                <w:rFonts w:ascii="Calibri" w:hAnsi="Calibri"/>
                <w:color w:val="565656"/>
                <w:sz w:val="17"/>
              </w:rPr>
              <w:t>s.38(3)(b)</w:t>
            </w:r>
          </w:p>
        </w:tc>
      </w:tr>
    </w:tbl>
    <w:p>
      <w:pPr>
        <w:keepNext w:val="0"/>
        <w:spacing w:after="160" w:before="0"/>
      </w:pPr>
      <w:r>
        <w:rPr>
          <w:rFonts w:ascii="Calibri" w:hAnsi="Calibri"/>
          <w:b w:val="0"/>
          <w:i w:val="0"/>
          <w:color w:val="1D1D1D"/>
          <w:sz w:val="21"/>
        </w:rPr>
      </w:r>
    </w:p>
    <w:p>
      <w:pPr>
        <w:spacing w:after="120"/>
        <w:ind w:left="288"/>
      </w:pPr>
      <w:r>
        <w:rPr>
          <w:rFonts w:ascii="Calibri" w:hAnsi="Calibri"/>
          <w:b/>
          <w:color w:val="0069A4"/>
          <w:sz w:val="17"/>
        </w:rPr>
        <w:t xml:space="preserve">Rests on  </w:t>
      </w:r>
      <w:r>
        <w:rPr>
          <w:rFonts w:ascii="Calibri" w:hAnsi="Calibri"/>
          <w:i/>
          <w:color w:val="565656"/>
          <w:sz w:val="17"/>
        </w:rPr>
        <w:t>IR Code, 2020, ss.30, 32, 33, 35 and 38</w:t>
      </w:r>
    </w:p>
    <w:p>
      <w:r>
        <w:br w:type="page"/>
      </w:r>
    </w:p>
    <w:p>
      <w:pPr>
        <w:pStyle w:val="Heading1"/>
        <w:keepNext/>
        <w:spacing w:after="200" w:before="80"/>
        <w:ind w:left="115"/>
        <w:shd w:val="clear" w:fill="008CDB"/>
      </w:pPr>
      <w:r>
        <w:rPr>
          <w:rFonts w:ascii="Calibri" w:hAnsi="Calibri"/>
          <w:b/>
          <w:color w:val="FFFFFF"/>
          <w:sz w:val="22"/>
        </w:rPr>
        <w:t>6  ·  WHAT THE RULES PRESCRIBE, WHICH THE CODE ONLY POINTS AT</w:t>
      </w:r>
    </w:p>
    <w:p>
      <w:pPr>
        <w:keepNext w:val="0"/>
        <w:spacing w:after="200" w:before="0"/>
      </w:pPr>
      <w:r>
        <w:rPr>
          <w:rFonts w:ascii="Calibri" w:hAnsi="Calibri"/>
          <w:b w:val="0"/>
          <w:i w:val="0"/>
          <w:color w:val="1D1D1D"/>
          <w:sz w:val="21"/>
        </w:rPr>
        <w:t>Chapter IV says "as may be prescribed" at nearly every step. These eleven lines are what it points at: rules 10 to 18 of the Industrial Relations (Central) Rules, 2026. Read the adoption rows in particular, because the clock there is THIRTY days, not the sixty that most guidance quotes.</w:t>
      </w:r>
    </w:p>
    <w:p>
      <w:pPr>
        <w:keepNext w:val="0"/>
        <w:spacing w:after="160" w:before="0"/>
        <w:ind w:left="173"/>
        <w:shd w:val="clear" w:fill="FFEAEA"/>
      </w:pPr>
      <w:r>
        <w:rPr>
          <w:rFonts w:ascii="Calibri" w:hAnsi="Calibri"/>
          <w:b w:val="0"/>
          <w:i w:val="0"/>
          <w:color w:val="1D1D1D"/>
          <w:sz w:val="20"/>
        </w:rPr>
        <w:t>READ THE SPHERE FIRST. These are the CENTRAL rules, and they prescribe for you only where the Central Government is your appropriate Government under section 2(b)(i): railways and metro railways, mines, oil fields, major ports, air transport, telecommunication, banking and insurance, a corporation set up by a Central Act, a central public sector undertaking, and contractors to any of those. Section 2(b)(ii) puts EVERY OTHER industrial establishment, including State public sector undertakings, with the STATE Government. A factory, a corporate office, an IT company or a hospital is therefore in the State sphere, and its State’s rules prescribe these same steps, following the same Code but differing in the detail. No State rules were read for this pack. Use the table below as the shape of what to look for in yours, and check the numbered columns of both before you rely on either.</w:t>
      </w:r>
    </w:p>
    <w:p>
      <w:pPr>
        <w:keepNext w:val="0"/>
        <w:spacing w:after="200" w:before="0"/>
      </w:pPr>
      <w:r>
        <w:rPr>
          <w:rFonts w:ascii="Calibri" w:hAnsi="Calibri"/>
          <w:b w:val="0"/>
          <w:i w:val="0"/>
          <w:color w:val="1D1D1D"/>
          <w:sz w:val="19"/>
        </w:rPr>
        <w:t>What the CODE fixes, and so binds you in either sphere: the three hundred threshold and its twelve month lookback, section 28(1); the model orders being deemed adopted in the meantime, section 29(2); adoption deeming certification, section 30(3); the sixty day proviso for a draft, section 30(5); the sixty day appeal, section 32; the orders coming into operation thirty days after copies are sent, section 33(1); the evidence bar, section 36; the Tribunal, section 37; and the subsistence rates, section 38. Nothing in the table below changes any of those.</w:t>
      </w:r>
    </w:p>
    <w:tbl>
      <w:tblPr>
        <w:tblStyle w:val="TableGrid"/>
        <w:tblW w:type="auto" w:w="0"/>
        <w:tblLook w:firstColumn="1" w:firstRow="1" w:lastColumn="0" w:lastRow="0" w:noHBand="0" w:noVBand="1" w:val="04A0"/>
      </w:tblPr>
      <w:tblGrid>
        <w:gridCol w:w="3216"/>
        <w:gridCol w:w="3216"/>
        <w:gridCol w:w="3216"/>
      </w:tblGrid>
      <w:tr>
        <w:tc>
          <w:tcPr>
            <w:tcW w:type="dxa" w:w="2448"/>
          </w:tcPr>
          <w:p>
            <w:pPr>
              <w:spacing w:after="40"/>
              <w:shd w:val="clear" w:fill="E8F4FC"/>
            </w:pPr>
            <w:r/>
            <w:r>
              <w:rPr>
                <w:rFonts w:ascii="Calibri" w:hAnsi="Calibri"/>
                <w:b/>
                <w:color w:val="0069A4"/>
                <w:sz w:val="17"/>
              </w:rPr>
              <w:t>What the Rules add</w:t>
            </w:r>
          </w:p>
        </w:tc>
        <w:tc>
          <w:tcPr>
            <w:tcW w:type="dxa" w:w="5184"/>
          </w:tcPr>
          <w:p>
            <w:pPr>
              <w:spacing w:after="40"/>
              <w:shd w:val="clear" w:fill="E8F4FC"/>
            </w:pPr>
            <w:r/>
            <w:r>
              <w:rPr>
                <w:rFonts w:ascii="Calibri" w:hAnsi="Calibri"/>
                <w:b/>
                <w:color w:val="0069A4"/>
                <w:sz w:val="17"/>
              </w:rPr>
              <w:t>What they say</w:t>
            </w:r>
          </w:p>
        </w:tc>
        <w:tc>
          <w:tcPr>
            <w:tcW w:type="dxa" w:w="1872"/>
          </w:tcPr>
          <w:p>
            <w:pPr>
              <w:spacing w:after="40"/>
              <w:shd w:val="clear" w:fill="E8F4FC"/>
            </w:pPr>
            <w:r/>
            <w:r>
              <w:rPr>
                <w:rFonts w:ascii="Calibri" w:hAnsi="Calibri"/>
                <w:b/>
                <w:color w:val="0069A4"/>
                <w:sz w:val="17"/>
              </w:rPr>
              <w:t>Rule</w:t>
            </w:r>
          </w:p>
        </w:tc>
      </w:tr>
      <w:tr>
        <w:tc>
          <w:tcPr>
            <w:tcW w:type="dxa" w:w="2448"/>
          </w:tcPr>
          <w:p>
            <w:pPr>
              <w:spacing w:after="40"/>
            </w:pPr>
            <w:r/>
            <w:r>
              <w:rPr>
                <w:rFonts w:ascii="Calibri" w:hAnsi="Calibri"/>
                <w:color w:val="565656"/>
                <w:sz w:val="17"/>
              </w:rPr>
              <w:t>Which model applies to you</w:t>
            </w:r>
          </w:p>
        </w:tc>
        <w:tc>
          <w:tcPr>
            <w:tcW w:type="dxa" w:w="5184"/>
          </w:tcPr>
          <w:p>
            <w:pPr>
              <w:spacing w:after="40"/>
            </w:pPr>
            <w:r/>
            <w:r>
              <w:rPr>
                <w:rFonts w:ascii="Calibri" w:hAnsi="Calibri"/>
                <w:color w:val="565656"/>
                <w:sz w:val="17"/>
              </w:rPr>
              <w:t>The Model Standing Orders for the Code, for industrial establishments in the mine sector, the manufacturing sector and the service sector, are those set out under the Model Standing Orders, 2026.</w:t>
            </w:r>
          </w:p>
        </w:tc>
        <w:tc>
          <w:tcPr>
            <w:tcW w:type="dxa" w:w="1872"/>
          </w:tcPr>
          <w:p>
            <w:pPr>
              <w:spacing w:after="40"/>
            </w:pPr>
            <w:r/>
            <w:r>
              <w:rPr>
                <w:rFonts w:ascii="Calibri" w:hAnsi="Calibri"/>
                <w:color w:val="565656"/>
                <w:sz w:val="17"/>
              </w:rPr>
              <w:t>rule 10</w:t>
            </w:r>
          </w:p>
        </w:tc>
      </w:tr>
      <w:tr>
        <w:tc>
          <w:tcPr>
            <w:tcW w:type="dxa" w:w="2448"/>
          </w:tcPr>
          <w:p>
            <w:pPr>
              <w:spacing w:after="40"/>
            </w:pPr>
            <w:r/>
            <w:r>
              <w:rPr>
                <w:rFonts w:ascii="Calibri" w:hAnsi="Calibri"/>
                <w:color w:val="565656"/>
                <w:sz w:val="17"/>
              </w:rPr>
              <w:t>How you tell them you adopted</w:t>
            </w:r>
          </w:p>
        </w:tc>
        <w:tc>
          <w:tcPr>
            <w:tcW w:type="dxa" w:w="5184"/>
          </w:tcPr>
          <w:p>
            <w:pPr>
              <w:spacing w:after="40"/>
            </w:pPr>
            <w:r/>
            <w:r>
              <w:rPr>
                <w:rFonts w:ascii="Calibri" w:hAnsi="Calibri"/>
                <w:color w:val="565656"/>
                <w:sz w:val="17"/>
              </w:rPr>
              <w:t>Inform the certifying officer electronically, in person or by speed post of THE SPECIFIC DATE from which the Model Standing Orders have been adopted. They then apply to the establishment AND ALL ITS UNITS, and come into force from that date.</w:t>
            </w:r>
          </w:p>
        </w:tc>
        <w:tc>
          <w:tcPr>
            <w:tcW w:type="dxa" w:w="1872"/>
          </w:tcPr>
          <w:p>
            <w:pPr>
              <w:spacing w:after="40"/>
            </w:pPr>
            <w:r/>
            <w:r>
              <w:rPr>
                <w:rFonts w:ascii="Calibri" w:hAnsi="Calibri"/>
                <w:color w:val="565656"/>
                <w:sz w:val="17"/>
              </w:rPr>
              <w:t>rule 10(1), (2) and (6)</w:t>
            </w:r>
          </w:p>
        </w:tc>
      </w:tr>
      <w:tr>
        <w:tc>
          <w:tcPr>
            <w:tcW w:type="dxa" w:w="2448"/>
          </w:tcPr>
          <w:p>
            <w:pPr>
              <w:spacing w:after="40"/>
            </w:pPr>
            <w:r/>
            <w:r>
              <w:rPr>
                <w:rFonts w:ascii="Calibri" w:hAnsi="Calibri"/>
                <w:color w:val="565656"/>
                <w:sz w:val="17"/>
              </w:rPr>
              <w:t>Thirty days for the officer to object</w:t>
            </w:r>
          </w:p>
        </w:tc>
        <w:tc>
          <w:tcPr>
            <w:tcW w:type="dxa" w:w="5184"/>
          </w:tcPr>
          <w:p>
            <w:pPr>
              <w:spacing w:after="40"/>
            </w:pPr>
            <w:r/>
            <w:r>
              <w:rPr>
                <w:rFonts w:ascii="Calibri" w:hAnsi="Calibri"/>
                <w:color w:val="565656"/>
                <w:sz w:val="17"/>
              </w:rPr>
              <w:t>The deeming itself is immediate: section 30(3) deems an adopted model standing order certified, and rule 10(6) brings it into force from your adoption date, so nothing here is a waiting period. If the certifying officer makes NO OBSERVATION within thirty days of receiving your information, the Model Standing Order is deemed to have been certified and the question is closed. Where he does observe that you carry on activities the adopted orders do not cover, he may within thirty days direct you to include the relevant provisions, and you comply within thirty days and send a compliance report on those provisions only.</w:t>
            </w:r>
          </w:p>
        </w:tc>
        <w:tc>
          <w:tcPr>
            <w:tcW w:type="dxa" w:w="1872"/>
          </w:tcPr>
          <w:p>
            <w:pPr>
              <w:spacing w:after="40"/>
            </w:pPr>
            <w:r/>
            <w:r>
              <w:rPr>
                <w:rFonts w:ascii="Calibri" w:hAnsi="Calibri"/>
                <w:color w:val="565656"/>
                <w:sz w:val="17"/>
              </w:rPr>
              <w:t>rule 10(4) and (5)</w:t>
            </w:r>
          </w:p>
        </w:tc>
      </w:tr>
      <w:tr>
        <w:tc>
          <w:tcPr>
            <w:tcW w:type="dxa" w:w="2448"/>
          </w:tcPr>
          <w:p>
            <w:pPr>
              <w:spacing w:after="40"/>
            </w:pPr>
            <w:r/>
            <w:r>
              <w:rPr>
                <w:rFonts w:ascii="Calibri" w:hAnsi="Calibri"/>
                <w:color w:val="565656"/>
                <w:sz w:val="17"/>
              </w:rPr>
              <w:t>Where there is no Trade Union</w:t>
            </w:r>
          </w:p>
        </w:tc>
        <w:tc>
          <w:tcPr>
            <w:tcW w:type="dxa" w:w="5184"/>
          </w:tcPr>
          <w:p>
            <w:pPr>
              <w:spacing w:after="40"/>
            </w:pPr>
            <w:r/>
            <w:r>
              <w:rPr>
                <w:rFonts w:ascii="Calibri" w:hAnsi="Calibri"/>
                <w:color w:val="565656"/>
                <w:sz w:val="17"/>
              </w:rPr>
              <w:t>The certifying officer calls a meeting of the workers to choose their representatives, then issues them notice with a copy of the draft IN THE LANGUAGE SPOKEN AND UNDERSTOOD BY THE MAJORITY OF THE WORKERS, and comments are due within fifteen days of receipt. A union, where there is one, gets the same copy in the same language on the same fifteen day clock.</w:t>
            </w:r>
          </w:p>
        </w:tc>
        <w:tc>
          <w:tcPr>
            <w:tcW w:type="dxa" w:w="1872"/>
          </w:tcPr>
          <w:p>
            <w:pPr>
              <w:spacing w:after="40"/>
            </w:pPr>
            <w:r/>
            <w:r>
              <w:rPr>
                <w:rFonts w:ascii="Calibri" w:hAnsi="Calibri"/>
                <w:color w:val="565656"/>
                <w:sz w:val="17"/>
              </w:rPr>
              <w:t>rule 11</w:t>
            </w:r>
          </w:p>
        </w:tc>
      </w:tr>
      <w:tr>
        <w:tc>
          <w:tcPr>
            <w:tcW w:type="dxa" w:w="2448"/>
          </w:tcPr>
          <w:p>
            <w:pPr>
              <w:spacing w:after="40"/>
            </w:pPr>
            <w:r/>
            <w:r>
              <w:rPr>
                <w:rFonts w:ascii="Calibri" w:hAnsi="Calibri"/>
                <w:color w:val="565656"/>
                <w:sz w:val="17"/>
              </w:rPr>
              <w:t>How a certified order reaches you</w:t>
            </w:r>
          </w:p>
        </w:tc>
        <w:tc>
          <w:tcPr>
            <w:tcW w:type="dxa" w:w="5184"/>
          </w:tcPr>
          <w:p>
            <w:pPr>
              <w:spacing w:after="40"/>
            </w:pPr>
            <w:r/>
            <w:r>
              <w:rPr>
                <w:rFonts w:ascii="Calibri" w:hAnsi="Calibri"/>
                <w:color w:val="565656"/>
                <w:sz w:val="17"/>
              </w:rPr>
              <w:t>Authenticated by the certifying officer and sent electronically AND in hard copy by speed post within seven days of authentication, to the employer and all registered Trade Unions or chosen representatives. There is no authentication requirement at all where the orders were deemed certified under s.30(3) or where the employer certified adoption of the Model Standing Orders.</w:t>
            </w:r>
          </w:p>
        </w:tc>
        <w:tc>
          <w:tcPr>
            <w:tcW w:type="dxa" w:w="1872"/>
          </w:tcPr>
          <w:p>
            <w:pPr>
              <w:spacing w:after="40"/>
            </w:pPr>
            <w:r/>
            <w:r>
              <w:rPr>
                <w:rFonts w:ascii="Calibri" w:hAnsi="Calibri"/>
                <w:color w:val="565656"/>
                <w:sz w:val="17"/>
              </w:rPr>
              <w:t>rule 12</w:t>
            </w:r>
          </w:p>
        </w:tc>
      </w:tr>
      <w:tr>
        <w:tc>
          <w:tcPr>
            <w:tcW w:type="dxa" w:w="2448"/>
          </w:tcPr>
          <w:p>
            <w:pPr>
              <w:spacing w:after="40"/>
            </w:pPr>
            <w:r/>
            <w:r>
              <w:rPr>
                <w:rFonts w:ascii="Calibri" w:hAnsi="Calibri"/>
                <w:color w:val="565656"/>
                <w:sz w:val="17"/>
              </w:rPr>
              <w:t>What the statement must contain</w:t>
            </w:r>
          </w:p>
        </w:tc>
        <w:tc>
          <w:tcPr>
            <w:tcW w:type="dxa" w:w="5184"/>
          </w:tcPr>
          <w:p>
            <w:pPr>
              <w:spacing w:after="40"/>
            </w:pPr>
            <w:r/>
            <w:r>
              <w:rPr>
                <w:rFonts w:ascii="Calibri" w:hAnsi="Calibri"/>
                <w:color w:val="565656"/>
                <w:sz w:val="17"/>
              </w:rPr>
              <w:t>The name of the establishment, its address, E-MAIL ADDRESS and CONTACT NUMBER, and the strength and details of the workers employed including particulars of the Trade Unions they belong to. It must be signed by a person authorised by the establishment. For a modification, a TABULAR statement of each provision in force against the proposed change, with reasons.</w:t>
            </w:r>
          </w:p>
        </w:tc>
        <w:tc>
          <w:tcPr>
            <w:tcW w:type="dxa" w:w="1872"/>
          </w:tcPr>
          <w:p>
            <w:pPr>
              <w:spacing w:after="40"/>
            </w:pPr>
            <w:r/>
            <w:r>
              <w:rPr>
                <w:rFonts w:ascii="Calibri" w:hAnsi="Calibri"/>
                <w:color w:val="565656"/>
                <w:sz w:val="17"/>
              </w:rPr>
              <w:t>rule 13</w:t>
            </w:r>
          </w:p>
        </w:tc>
      </w:tr>
      <w:tr>
        <w:tc>
          <w:tcPr>
            <w:tcW w:type="dxa" w:w="2448"/>
          </w:tcPr>
          <w:p>
            <w:pPr>
              <w:spacing w:after="40"/>
            </w:pPr>
            <w:r/>
            <w:r>
              <w:rPr>
                <w:rFonts w:ascii="Calibri" w:hAnsi="Calibri"/>
                <w:color w:val="565656"/>
                <w:sz w:val="17"/>
              </w:rPr>
              <w:t>A joint draft goes higher</w:t>
            </w:r>
          </w:p>
        </w:tc>
        <w:tc>
          <w:tcPr>
            <w:tcW w:type="dxa" w:w="5184"/>
          </w:tcPr>
          <w:p>
            <w:pPr>
              <w:spacing w:after="40"/>
            </w:pPr>
            <w:r/>
            <w:r>
              <w:rPr>
                <w:rFonts w:ascii="Calibri" w:hAnsi="Calibri"/>
                <w:color w:val="565656"/>
                <w:sz w:val="17"/>
              </w:rPr>
              <w:t>A group of employers in similar establishments may submit a joint draft after consulting the concerned Trade Union, but it goes to the ADDITIONAL CHIEF LABOUR COMMISSIONER (CENTRAL), who certifies it in consultation with the concerned certifying officers and records reasons, after notice and a reasonable opportunity of being heard.</w:t>
            </w:r>
          </w:p>
        </w:tc>
        <w:tc>
          <w:tcPr>
            <w:tcW w:type="dxa" w:w="1872"/>
          </w:tcPr>
          <w:p>
            <w:pPr>
              <w:spacing w:after="40"/>
            </w:pPr>
            <w:r/>
            <w:r>
              <w:rPr>
                <w:rFonts w:ascii="Calibri" w:hAnsi="Calibri"/>
                <w:color w:val="565656"/>
                <w:sz w:val="17"/>
              </w:rPr>
              <w:t>rule 14</w:t>
            </w:r>
          </w:p>
        </w:tc>
      </w:tr>
      <w:tr>
        <w:tc>
          <w:tcPr>
            <w:tcW w:type="dxa" w:w="2448"/>
          </w:tcPr>
          <w:p>
            <w:pPr>
              <w:spacing w:after="40"/>
            </w:pPr>
            <w:r/>
            <w:r>
              <w:rPr>
                <w:rFonts w:ascii="Calibri" w:hAnsi="Calibri"/>
                <w:color w:val="565656"/>
                <w:sz w:val="17"/>
              </w:rPr>
              <w:t>An appeal is a table, not a letter</w:t>
            </w:r>
          </w:p>
        </w:tc>
        <w:tc>
          <w:tcPr>
            <w:tcW w:type="dxa" w:w="5184"/>
          </w:tcPr>
          <w:p>
            <w:pPr>
              <w:spacing w:after="40"/>
            </w:pPr>
            <w:r/>
            <w:r>
              <w:rPr>
                <w:rFonts w:ascii="Calibri" w:hAnsi="Calibri"/>
                <w:color w:val="565656"/>
                <w:sz w:val="17"/>
              </w:rPr>
              <w:t>The memorandum of appeal is drawn up IN TABULAR FORM stating the provisions to be altered, modified, deleted or added and the reasons, and filed electronically or in person. Every respondent gets a copy. The appellate authority's order is served within three days of disposal.</w:t>
            </w:r>
          </w:p>
        </w:tc>
        <w:tc>
          <w:tcPr>
            <w:tcW w:type="dxa" w:w="1872"/>
          </w:tcPr>
          <w:p>
            <w:pPr>
              <w:spacing w:after="40"/>
            </w:pPr>
            <w:r/>
            <w:r>
              <w:rPr>
                <w:rFonts w:ascii="Calibri" w:hAnsi="Calibri"/>
                <w:color w:val="565656"/>
                <w:sz w:val="17"/>
              </w:rPr>
              <w:t>rule 15 and rule 16(1)</w:t>
            </w:r>
          </w:p>
        </w:tc>
      </w:tr>
      <w:tr>
        <w:tc>
          <w:tcPr>
            <w:tcW w:type="dxa" w:w="2448"/>
          </w:tcPr>
          <w:p>
            <w:pPr>
              <w:spacing w:after="40"/>
            </w:pPr>
            <w:r/>
            <w:r>
              <w:rPr>
                <w:rFonts w:ascii="Calibri" w:hAnsi="Calibri"/>
                <w:color w:val="565656"/>
                <w:sz w:val="17"/>
              </w:rPr>
              <w:t>Where the text has to live</w:t>
            </w:r>
          </w:p>
        </w:tc>
        <w:tc>
          <w:tcPr>
            <w:tcW w:type="dxa" w:w="5184"/>
          </w:tcPr>
          <w:p>
            <w:pPr>
              <w:spacing w:after="40"/>
            </w:pPr>
            <w:r/>
            <w:r>
              <w:rPr>
                <w:rFonts w:ascii="Calibri" w:hAnsi="Calibri"/>
                <w:color w:val="565656"/>
                <w:sz w:val="17"/>
              </w:rPr>
              <w:t>Maintained by the employer in HINDI, ENGLISH AND THE LOCAL LANGUAGE, and displayed legibly on a special board kept for the purpose at or near the entrance through which the majority of the workers enter. It may also go on the establishment's website.</w:t>
            </w:r>
          </w:p>
        </w:tc>
        <w:tc>
          <w:tcPr>
            <w:tcW w:type="dxa" w:w="1872"/>
          </w:tcPr>
          <w:p>
            <w:pPr>
              <w:spacing w:after="40"/>
            </w:pPr>
            <w:r/>
            <w:r>
              <w:rPr>
                <w:rFonts w:ascii="Calibri" w:hAnsi="Calibri"/>
                <w:color w:val="565656"/>
                <w:sz w:val="17"/>
              </w:rPr>
              <w:t>rule 16(2) and (3)</w:t>
            </w:r>
          </w:p>
        </w:tc>
      </w:tr>
      <w:tr>
        <w:tc>
          <w:tcPr>
            <w:tcW w:type="dxa" w:w="2448"/>
          </w:tcPr>
          <w:p>
            <w:pPr>
              <w:spacing w:after="40"/>
            </w:pPr>
            <w:r/>
            <w:r>
              <w:rPr>
                <w:rFonts w:ascii="Calibri" w:hAnsi="Calibri"/>
                <w:color w:val="565656"/>
                <w:sz w:val="17"/>
              </w:rPr>
              <w:t>The register, and what a copy costs</w:t>
            </w:r>
          </w:p>
        </w:tc>
        <w:tc>
          <w:tcPr>
            <w:tcW w:type="dxa" w:w="5184"/>
          </w:tcPr>
          <w:p>
            <w:pPr>
              <w:spacing w:after="40"/>
            </w:pPr>
            <w:r/>
            <w:r>
              <w:rPr>
                <w:rFonts w:ascii="Calibri" w:hAnsi="Calibri"/>
                <w:color w:val="565656"/>
                <w:sz w:val="17"/>
              </w:rPr>
              <w:t>The certifying officer keeps a register electronically in Form-III of every certified, deemed certified and adopted standing order, with a unique number for each. A copy is furnished to anyone applying, at two rupees per page, payable electronically.</w:t>
            </w:r>
          </w:p>
        </w:tc>
        <w:tc>
          <w:tcPr>
            <w:tcW w:type="dxa" w:w="1872"/>
          </w:tcPr>
          <w:p>
            <w:pPr>
              <w:spacing w:after="40"/>
            </w:pPr>
            <w:r/>
            <w:r>
              <w:rPr>
                <w:rFonts w:ascii="Calibri" w:hAnsi="Calibri"/>
                <w:color w:val="565656"/>
                <w:sz w:val="17"/>
              </w:rPr>
              <w:t>rule 17</w:t>
            </w:r>
          </w:p>
        </w:tc>
      </w:tr>
      <w:tr>
        <w:tc>
          <w:tcPr>
            <w:tcW w:type="dxa" w:w="2448"/>
          </w:tcPr>
          <w:p>
            <w:pPr>
              <w:spacing w:after="40"/>
            </w:pPr>
            <w:r/>
            <w:r>
              <w:rPr>
                <w:rFonts w:ascii="Calibri" w:hAnsi="Calibri"/>
                <w:color w:val="565656"/>
                <w:sz w:val="17"/>
              </w:rPr>
              <w:t>Applying to modify</w:t>
            </w:r>
          </w:p>
        </w:tc>
        <w:tc>
          <w:tcPr>
            <w:tcW w:type="dxa" w:w="5184"/>
          </w:tcPr>
          <w:p>
            <w:pPr>
              <w:spacing w:after="40"/>
            </w:pPr>
            <w:r/>
            <w:r>
              <w:rPr>
                <w:rFonts w:ascii="Calibri" w:hAnsi="Calibri"/>
                <w:color w:val="565656"/>
                <w:sz w:val="17"/>
              </w:rPr>
              <w:t>Electronically, in person or by speed post, containing the particulars of the orders proposed to be modified with a TABULAR statement of each provision in force against the proposed modification and the reasons, plus the details of the registered Trade Unions operating there, signed by an authorised person.</w:t>
            </w:r>
          </w:p>
        </w:tc>
        <w:tc>
          <w:tcPr>
            <w:tcW w:type="dxa" w:w="1872"/>
          </w:tcPr>
          <w:p>
            <w:pPr>
              <w:spacing w:after="40"/>
            </w:pPr>
            <w:r/>
            <w:r>
              <w:rPr>
                <w:rFonts w:ascii="Calibri" w:hAnsi="Calibri"/>
                <w:color w:val="565656"/>
                <w:sz w:val="17"/>
              </w:rPr>
              <w:t>rule 18</w:t>
            </w:r>
          </w:p>
        </w:tc>
      </w:tr>
    </w:tbl>
    <w:p>
      <w:pPr>
        <w:keepNext w:val="0"/>
        <w:spacing w:after="200" w:before="0"/>
      </w:pPr>
      <w:r>
        <w:rPr>
          <w:rFonts w:ascii="Calibri" w:hAnsi="Calibri"/>
          <w:b w:val="0"/>
          <w:i w:val="0"/>
          <w:color w:val="1D1D1D"/>
          <w:sz w:val="21"/>
        </w:rPr>
      </w:r>
    </w:p>
    <w:p>
      <w:pPr>
        <w:keepNext w:val="0"/>
        <w:spacing w:after="160" w:before="0"/>
        <w:ind w:left="173"/>
        <w:shd w:val="clear" w:fill="FFF6E5"/>
      </w:pPr>
      <w:r>
        <w:rPr>
          <w:rFonts w:ascii="Calibri" w:hAnsi="Calibri"/>
          <w:b w:val="0"/>
          <w:i w:val="0"/>
          <w:color w:val="1D1D1D"/>
          <w:sz w:val="20"/>
        </w:rPr>
        <w:t>Two of these are commonly got wrong, in the central sphere where they bind. Rule 16(2) wants the text in HINDI, ENGLISH AND THE LOCAL LANGUAGE, all three, not one of your choosing, and rule 16(3) wants it on a SPECIAL BOARD at or near the entrance the majority of workers use, with the website permitted as an addition rather than a substitute. And rule 13(1) names an e-mail address and a contact number among the particulars, which a statement giving only a postal address does not carry.</w:t>
      </w:r>
    </w:p>
    <w:p>
      <w:pPr>
        <w:spacing w:after="120"/>
        <w:ind w:left="288"/>
      </w:pPr>
      <w:r>
        <w:rPr>
          <w:rFonts w:ascii="Calibri" w:hAnsi="Calibri"/>
          <w:b/>
          <w:color w:val="0069A4"/>
          <w:sz w:val="17"/>
        </w:rPr>
        <w:t xml:space="preserve">Rests on  </w:t>
      </w:r>
      <w:r>
        <w:rPr>
          <w:rFonts w:ascii="Calibri" w:hAnsi="Calibri"/>
          <w:i/>
          <w:color w:val="565656"/>
          <w:sz w:val="17"/>
        </w:rPr>
        <w:t>IR (Central) Rules, 2026, rules 10 to 18, G.S.R. 342(E)</w:t>
      </w:r>
    </w:p>
    <w:p>
      <w:r>
        <w:br w:type="page"/>
      </w:r>
    </w:p>
    <w:p>
      <w:pPr>
        <w:pStyle w:val="Heading1"/>
        <w:keepNext/>
        <w:spacing w:after="200" w:before="80"/>
        <w:ind w:left="115"/>
        <w:shd w:val="clear" w:fill="008CDB"/>
      </w:pPr>
      <w:r>
        <w:rPr>
          <w:rFonts w:ascii="Calibri" w:hAnsi="Calibri"/>
          <w:b/>
          <w:color w:val="FFFFFF"/>
          <w:sz w:val="22"/>
        </w:rPr>
        <w:t>7  ·  WHAT IT COSTS TO GET THIS WRONG</w:t>
      </w:r>
    </w:p>
    <w:p>
      <w:pPr>
        <w:keepNext w:val="0"/>
        <w:spacing w:after="200" w:before="0"/>
      </w:pPr>
      <w:r>
        <w:rPr>
          <w:rFonts w:ascii="Calibri" w:hAnsi="Calibri"/>
          <w:b w:val="0"/>
          <w:i w:val="0"/>
          <w:color w:val="1D1D1D"/>
          <w:sz w:val="21"/>
        </w:rPr>
        <w:t>Chapter IV has teeth, and most guidance on standing orders never mentions them. These are the sub-sections of section 86 that reach an employer here.</w:t>
      </w:r>
    </w:p>
    <w:tbl>
      <w:tblPr>
        <w:tblStyle w:val="TableGrid"/>
        <w:tblW w:type="auto" w:w="0"/>
        <w:tblLook w:firstColumn="1" w:firstRow="1" w:lastColumn="0" w:lastRow="0" w:noHBand="0" w:noVBand="1" w:val="04A0"/>
      </w:tblPr>
      <w:tblGrid>
        <w:gridCol w:w="3216"/>
        <w:gridCol w:w="3216"/>
        <w:gridCol w:w="3216"/>
      </w:tblGrid>
      <w:tr>
        <w:tc>
          <w:tcPr>
            <w:tcW w:type="dxa" w:w="4608"/>
          </w:tcPr>
          <w:p>
            <w:pPr>
              <w:spacing w:after="40"/>
              <w:shd w:val="clear" w:fill="E8F4FC"/>
            </w:pPr>
            <w:r/>
            <w:r>
              <w:rPr>
                <w:rFonts w:ascii="Calibri" w:hAnsi="Calibri"/>
                <w:b/>
                <w:color w:val="0069A4"/>
                <w:sz w:val="17"/>
              </w:rPr>
              <w:t>What you did</w:t>
            </w:r>
          </w:p>
        </w:tc>
        <w:tc>
          <w:tcPr>
            <w:tcW w:type="dxa" w:w="2880"/>
          </w:tcPr>
          <w:p>
            <w:pPr>
              <w:spacing w:after="40"/>
              <w:shd w:val="clear" w:fill="E8F4FC"/>
            </w:pPr>
            <w:r/>
            <w:r>
              <w:rPr>
                <w:rFonts w:ascii="Calibri" w:hAnsi="Calibri"/>
                <w:b/>
                <w:color w:val="0069A4"/>
                <w:sz w:val="17"/>
              </w:rPr>
              <w:t>The fine</w:t>
            </w:r>
          </w:p>
        </w:tc>
        <w:tc>
          <w:tcPr>
            <w:tcW w:type="dxa" w:w="2016"/>
          </w:tcPr>
          <w:p>
            <w:pPr>
              <w:spacing w:after="40"/>
              <w:shd w:val="clear" w:fill="E8F4FC"/>
            </w:pPr>
            <w:r/>
            <w:r>
              <w:rPr>
                <w:rFonts w:ascii="Calibri" w:hAnsi="Calibri"/>
                <w:b/>
                <w:color w:val="0069A4"/>
                <w:sz w:val="17"/>
              </w:rPr>
              <w:t>Provision</w:t>
            </w:r>
          </w:p>
        </w:tc>
      </w:tr>
      <w:tr>
        <w:tc>
          <w:tcPr>
            <w:tcW w:type="dxa" w:w="4608"/>
          </w:tcPr>
          <w:p>
            <w:pPr>
              <w:spacing w:after="40"/>
            </w:pPr>
            <w:r/>
            <w:r>
              <w:rPr>
                <w:rFonts w:ascii="Calibri" w:hAnsi="Calibri"/>
                <w:color w:val="565656"/>
                <w:sz w:val="17"/>
              </w:rPr>
              <w:t>Failed to submit draft standing orders as section 30 requires, or modified them otherwise than under section 35</w:t>
            </w:r>
          </w:p>
        </w:tc>
        <w:tc>
          <w:tcPr>
            <w:tcW w:type="dxa" w:w="2880"/>
          </w:tcPr>
          <w:p>
            <w:pPr>
              <w:spacing w:after="40"/>
            </w:pPr>
            <w:r/>
            <w:r>
              <w:rPr>
                <w:rFonts w:ascii="Calibri" w:hAnsi="Calibri"/>
                <w:color w:val="565656"/>
                <w:sz w:val="17"/>
              </w:rPr>
              <w:t>₹50,000 to ₹2,00,000, plus ₹2,000 PER DAY while it continues</w:t>
            </w:r>
          </w:p>
        </w:tc>
        <w:tc>
          <w:tcPr>
            <w:tcW w:type="dxa" w:w="2016"/>
          </w:tcPr>
          <w:p>
            <w:pPr>
              <w:spacing w:after="40"/>
            </w:pPr>
            <w:r/>
            <w:r>
              <w:rPr>
                <w:rFonts w:ascii="Calibri" w:hAnsi="Calibri"/>
                <w:color w:val="565656"/>
                <w:sz w:val="17"/>
              </w:rPr>
              <w:t>s.86(10)</w:t>
            </w:r>
          </w:p>
        </w:tc>
      </w:tr>
      <w:tr>
        <w:tc>
          <w:tcPr>
            <w:tcW w:type="dxa" w:w="4608"/>
          </w:tcPr>
          <w:p>
            <w:pPr>
              <w:spacing w:after="40"/>
            </w:pPr>
            <w:r/>
            <w:r>
              <w:rPr>
                <w:rFonts w:ascii="Calibri" w:hAnsi="Calibri"/>
                <w:color w:val="565656"/>
                <w:sz w:val="17"/>
              </w:rPr>
              <w:t>Did any act in contravention of your own finally certified standing orders</w:t>
            </w:r>
          </w:p>
        </w:tc>
        <w:tc>
          <w:tcPr>
            <w:tcW w:type="dxa" w:w="2880"/>
          </w:tcPr>
          <w:p>
            <w:pPr>
              <w:spacing w:after="40"/>
            </w:pPr>
            <w:r/>
            <w:r>
              <w:rPr>
                <w:rFonts w:ascii="Calibri" w:hAnsi="Calibri"/>
                <w:color w:val="565656"/>
                <w:sz w:val="17"/>
              </w:rPr>
              <w:t>₹1,00,000 to ₹2,00,000</w:t>
            </w:r>
          </w:p>
        </w:tc>
        <w:tc>
          <w:tcPr>
            <w:tcW w:type="dxa" w:w="2016"/>
          </w:tcPr>
          <w:p>
            <w:pPr>
              <w:spacing w:after="40"/>
            </w:pPr>
            <w:r/>
            <w:r>
              <w:rPr>
                <w:rFonts w:ascii="Calibri" w:hAnsi="Calibri"/>
                <w:color w:val="565656"/>
                <w:sz w:val="17"/>
              </w:rPr>
              <w:t>s.86(11)</w:t>
            </w:r>
          </w:p>
        </w:tc>
      </w:tr>
      <w:tr>
        <w:tc>
          <w:tcPr>
            <w:tcW w:type="dxa" w:w="4608"/>
          </w:tcPr>
          <w:p>
            <w:pPr>
              <w:spacing w:after="40"/>
            </w:pPr>
            <w:r/>
            <w:r>
              <w:rPr>
                <w:rFonts w:ascii="Calibri" w:hAnsi="Calibri"/>
                <w:color w:val="565656"/>
                <w:sz w:val="17"/>
              </w:rPr>
              <w:t>Did it again after a conviction under s.86(11)</w:t>
            </w:r>
          </w:p>
        </w:tc>
        <w:tc>
          <w:tcPr>
            <w:tcW w:type="dxa" w:w="2880"/>
          </w:tcPr>
          <w:p>
            <w:pPr>
              <w:spacing w:after="40"/>
            </w:pPr>
            <w:r/>
            <w:r>
              <w:rPr>
                <w:rFonts w:ascii="Calibri" w:hAnsi="Calibri"/>
                <w:color w:val="565656"/>
                <w:sz w:val="17"/>
              </w:rPr>
              <w:t>₹2,00,000 to ₹4,00,000, or up to three months, or both</w:t>
            </w:r>
          </w:p>
        </w:tc>
        <w:tc>
          <w:tcPr>
            <w:tcW w:type="dxa" w:w="2016"/>
          </w:tcPr>
          <w:p>
            <w:pPr>
              <w:spacing w:after="40"/>
            </w:pPr>
            <w:r/>
            <w:r>
              <w:rPr>
                <w:rFonts w:ascii="Calibri" w:hAnsi="Calibri"/>
                <w:color w:val="565656"/>
                <w:sz w:val="17"/>
              </w:rPr>
              <w:t>s.86(12)</w:t>
            </w:r>
          </w:p>
        </w:tc>
      </w:tr>
      <w:tr>
        <w:tc>
          <w:tcPr>
            <w:tcW w:type="dxa" w:w="4608"/>
          </w:tcPr>
          <w:p>
            <w:pPr>
              <w:spacing w:after="40"/>
            </w:pPr>
            <w:r/>
            <w:r>
              <w:rPr>
                <w:rFonts w:ascii="Calibri" w:hAnsi="Calibri"/>
                <w:color w:val="565656"/>
                <w:sz w:val="17"/>
              </w:rPr>
              <w:t>Committed an unfair labour practice listed in the Second Schedule</w:t>
            </w:r>
          </w:p>
        </w:tc>
        <w:tc>
          <w:tcPr>
            <w:tcW w:type="dxa" w:w="2880"/>
          </w:tcPr>
          <w:p>
            <w:pPr>
              <w:spacing w:after="40"/>
            </w:pPr>
            <w:r/>
            <w:r>
              <w:rPr>
                <w:rFonts w:ascii="Calibri" w:hAnsi="Calibri"/>
                <w:color w:val="565656"/>
                <w:sz w:val="17"/>
              </w:rPr>
              <w:t>₹10,000 to ₹2,00,000</w:t>
            </w:r>
          </w:p>
        </w:tc>
        <w:tc>
          <w:tcPr>
            <w:tcW w:type="dxa" w:w="2016"/>
          </w:tcPr>
          <w:p>
            <w:pPr>
              <w:spacing w:after="40"/>
            </w:pPr>
            <w:r/>
            <w:r>
              <w:rPr>
                <w:rFonts w:ascii="Calibri" w:hAnsi="Calibri"/>
                <w:color w:val="565656"/>
                <w:sz w:val="17"/>
              </w:rPr>
              <w:t>s.86(5)</w:t>
            </w:r>
          </w:p>
        </w:tc>
      </w:tr>
      <w:tr>
        <w:tc>
          <w:tcPr>
            <w:tcW w:type="dxa" w:w="4608"/>
          </w:tcPr>
          <w:p>
            <w:pPr>
              <w:spacing w:after="40"/>
            </w:pPr>
            <w:r/>
            <w:r>
              <w:rPr>
                <w:rFonts w:ascii="Calibri" w:hAnsi="Calibri"/>
                <w:color w:val="565656"/>
                <w:sz w:val="17"/>
              </w:rPr>
              <w:t>Committed one again after conviction</w:t>
            </w:r>
          </w:p>
        </w:tc>
        <w:tc>
          <w:tcPr>
            <w:tcW w:type="dxa" w:w="2880"/>
          </w:tcPr>
          <w:p>
            <w:pPr>
              <w:spacing w:after="40"/>
            </w:pPr>
            <w:r/>
            <w:r>
              <w:rPr>
                <w:rFonts w:ascii="Calibri" w:hAnsi="Calibri"/>
                <w:color w:val="565656"/>
                <w:sz w:val="17"/>
              </w:rPr>
              <w:t>₹50,000 to ₹5,00,000, or up to three months, or both</w:t>
            </w:r>
          </w:p>
        </w:tc>
        <w:tc>
          <w:tcPr>
            <w:tcW w:type="dxa" w:w="2016"/>
          </w:tcPr>
          <w:p>
            <w:pPr>
              <w:spacing w:after="40"/>
            </w:pPr>
            <w:r/>
            <w:r>
              <w:rPr>
                <w:rFonts w:ascii="Calibri" w:hAnsi="Calibri"/>
                <w:color w:val="565656"/>
                <w:sz w:val="17"/>
              </w:rPr>
              <w:t>s.86(6)</w:t>
            </w:r>
          </w:p>
        </w:tc>
      </w:tr>
    </w:tbl>
    <w:p>
      <w:pPr>
        <w:keepNext w:val="0"/>
        <w:spacing w:after="200" w:before="0"/>
      </w:pPr>
      <w:r>
        <w:rPr>
          <w:rFonts w:ascii="Calibri" w:hAnsi="Calibri"/>
          <w:b w:val="0"/>
          <w:i w:val="0"/>
          <w:color w:val="1D1D1D"/>
          <w:sz w:val="21"/>
        </w:rPr>
      </w:r>
    </w:p>
    <w:p>
      <w:pPr>
        <w:keepNext w:val="0"/>
        <w:spacing w:after="160" w:before="0"/>
        <w:ind w:left="173"/>
        <w:shd w:val="clear" w:fill="FFEAEA"/>
      </w:pPr>
      <w:r>
        <w:rPr>
          <w:rFonts w:ascii="Calibri" w:hAnsi="Calibri"/>
          <w:b w:val="0"/>
          <w:i w:val="0"/>
          <w:color w:val="1D1D1D"/>
          <w:sz w:val="20"/>
        </w:rPr>
        <w:t>THE DAILY FINE IS THE ONE TO NOTICE. Section 86(10) makes failure to submit a continuing offence at two thousand rupees a day. The drafting window closed on 21-May-2026, so an establishment that has done nothing since is accruing, not merely late.</w:t>
      </w:r>
    </w:p>
    <w:p>
      <w:pPr>
        <w:keepNext w:val="0"/>
        <w:spacing w:after="200" w:before="0"/>
      </w:pPr>
      <w:r>
        <w:rPr>
          <w:rFonts w:ascii="Calibri" w:hAnsi="Calibri"/>
          <w:b w:val="0"/>
          <w:i w:val="0"/>
          <w:color w:val="1D1D1D"/>
          <w:sz w:val="19"/>
        </w:rPr>
        <w:t>Does adopting the model under section 30(3) answer section 86(10)? Section 86(10) is worded around failing to SUBMIT DRAFT standing orders as required by section 30, and adoption is a route within section 30. The better view is that an employer who adopts the model and informs the certifying officer has complied with section 30 and commits no offence. But the sub-section is not worded around adoption, no court has construed it yet, and this pack does not get to settle it. Adopt promptly, keep proof of the date and of what you sent, and take advice if you are already well past the deadline.</w:t>
      </w:r>
    </w:p>
    <w:p>
      <w:pPr>
        <w:spacing w:after="120"/>
        <w:ind w:left="288"/>
      </w:pPr>
      <w:r>
        <w:rPr>
          <w:rFonts w:ascii="Calibri" w:hAnsi="Calibri"/>
          <w:b/>
          <w:color w:val="0069A4"/>
          <w:sz w:val="17"/>
        </w:rPr>
        <w:t xml:space="preserve">Rests on  </w:t>
      </w:r>
      <w:r>
        <w:rPr>
          <w:rFonts w:ascii="Calibri" w:hAnsi="Calibri"/>
          <w:i/>
          <w:color w:val="565656"/>
          <w:sz w:val="17"/>
        </w:rPr>
        <w:t>IR Code, 2020, s.86(5), (6), (10), (11) and (12)</w:t>
      </w:r>
    </w:p>
    <w:p>
      <w:r>
        <w:br w:type="page"/>
      </w:r>
    </w:p>
    <w:p>
      <w:pPr>
        <w:pStyle w:val="Heading1"/>
        <w:keepNext/>
        <w:spacing w:after="200" w:before="80"/>
        <w:ind w:left="115"/>
        <w:shd w:val="clear" w:fill="008CDB"/>
      </w:pPr>
      <w:r>
        <w:rPr>
          <w:rFonts w:ascii="Calibri" w:hAnsi="Calibri"/>
          <w:b/>
          <w:color w:val="FFFFFF"/>
          <w:sz w:val="22"/>
        </w:rPr>
        <w:t>8  ·  WHAT YOU MAY NOT PUT IN THEM</w:t>
      </w:r>
    </w:p>
    <w:p>
      <w:pPr>
        <w:keepNext w:val="0"/>
        <w:spacing w:after="200" w:before="0"/>
      </w:pPr>
      <w:r>
        <w:rPr>
          <w:rFonts w:ascii="Calibri" w:hAnsi="Calibri"/>
          <w:b w:val="0"/>
          <w:i w:val="0"/>
          <w:color w:val="1D1D1D"/>
          <w:sz w:val="21"/>
        </w:rPr>
        <w:t>Item 9 of the First Schedule asks you to write your own list of what constitutes misconduct, and item 8 your own notice terms. Both have a ceiling. Section 30(7) makes it the certifying officer's and the appellate authority's function to adjudicate upon the FAIRNESS OR REASONABLENESS of any provision, keeping the model standing orders in view, so an overreaching clause costs you the certification. And Part I of the Second Schedule makes the following unfair labour practices, punishable under section 86(5).</w:t>
      </w:r>
    </w:p>
    <w:tbl>
      <w:tblPr>
        <w:tblStyle w:val="TableGrid"/>
        <w:tblW w:type="auto" w:w="0"/>
        <w:tblLook w:firstColumn="1" w:firstRow="1" w:lastColumn="0" w:lastRow="0" w:noHBand="0" w:noVBand="1" w:val="04A0"/>
      </w:tblPr>
      <w:tblGrid>
        <w:gridCol w:w="4824"/>
        <w:gridCol w:w="4824"/>
      </w:tblGrid>
      <w:tr>
        <w:tc>
          <w:tcPr>
            <w:tcW w:type="dxa" w:w="6624"/>
          </w:tcPr>
          <w:p>
            <w:pPr>
              <w:spacing w:after="40"/>
              <w:shd w:val="clear" w:fill="E8F4FC"/>
            </w:pPr>
            <w:r/>
            <w:r>
              <w:rPr>
                <w:rFonts w:ascii="Calibri" w:hAnsi="Calibri"/>
                <w:b/>
                <w:color w:val="0069A4"/>
                <w:sz w:val="17"/>
              </w:rPr>
              <w:t>You may not</w:t>
            </w:r>
          </w:p>
        </w:tc>
        <w:tc>
          <w:tcPr>
            <w:tcW w:type="dxa" w:w="2880"/>
          </w:tcPr>
          <w:p>
            <w:pPr>
              <w:spacing w:after="40"/>
              <w:shd w:val="clear" w:fill="E8F4FC"/>
            </w:pPr>
            <w:r/>
            <w:r>
              <w:rPr>
                <w:rFonts w:ascii="Calibri" w:hAnsi="Calibri"/>
                <w:b/>
                <w:color w:val="0069A4"/>
                <w:sz w:val="17"/>
              </w:rPr>
              <w:t>Second Schedule, Part I</w:t>
            </w:r>
          </w:p>
        </w:tc>
      </w:tr>
      <w:tr>
        <w:tc>
          <w:tcPr>
            <w:tcW w:type="dxa" w:w="6624"/>
          </w:tcPr>
          <w:p>
            <w:pPr>
              <w:spacing w:after="40"/>
            </w:pPr>
            <w:r/>
            <w:r>
              <w:rPr>
                <w:rFonts w:ascii="Calibri" w:hAnsi="Calibri"/>
                <w:color w:val="565656"/>
                <w:sz w:val="17"/>
              </w:rPr>
              <w:t>Threaten discharge or dismissal if workers join a Trade Union</w:t>
            </w:r>
          </w:p>
        </w:tc>
        <w:tc>
          <w:tcPr>
            <w:tcW w:type="dxa" w:w="2880"/>
          </w:tcPr>
          <w:p>
            <w:pPr>
              <w:spacing w:after="40"/>
            </w:pPr>
            <w:r/>
            <w:r>
              <w:rPr>
                <w:rFonts w:ascii="Calibri" w:hAnsi="Calibri"/>
                <w:color w:val="565656"/>
                <w:sz w:val="17"/>
              </w:rPr>
              <w:t>1(a)</w:t>
            </w:r>
          </w:p>
        </w:tc>
      </w:tr>
      <w:tr>
        <w:tc>
          <w:tcPr>
            <w:tcW w:type="dxa" w:w="6624"/>
          </w:tcPr>
          <w:p>
            <w:pPr>
              <w:spacing w:after="40"/>
            </w:pPr>
            <w:r/>
            <w:r>
              <w:rPr>
                <w:rFonts w:ascii="Calibri" w:hAnsi="Calibri"/>
                <w:color w:val="565656"/>
                <w:sz w:val="17"/>
              </w:rPr>
              <w:t>Discharge or punish a worker because he urged others to join or organise a Trade Union</w:t>
            </w:r>
          </w:p>
        </w:tc>
        <w:tc>
          <w:tcPr>
            <w:tcW w:type="dxa" w:w="2880"/>
          </w:tcPr>
          <w:p>
            <w:pPr>
              <w:spacing w:after="40"/>
            </w:pPr>
            <w:r/>
            <w:r>
              <w:rPr>
                <w:rFonts w:ascii="Calibri" w:hAnsi="Calibri"/>
                <w:color w:val="565656"/>
                <w:sz w:val="17"/>
              </w:rPr>
              <w:t>4(a)</w:t>
            </w:r>
          </w:p>
        </w:tc>
      </w:tr>
      <w:tr>
        <w:tc>
          <w:tcPr>
            <w:tcW w:type="dxa" w:w="6624"/>
          </w:tcPr>
          <w:p>
            <w:pPr>
              <w:spacing w:after="40"/>
            </w:pPr>
            <w:r/>
            <w:r>
              <w:rPr>
                <w:rFonts w:ascii="Calibri" w:hAnsi="Calibri"/>
                <w:color w:val="565656"/>
                <w:sz w:val="17"/>
              </w:rPr>
              <w:t>Dismiss a worker for taking part in a strike that is not illegal under this Code</w:t>
            </w:r>
          </w:p>
        </w:tc>
        <w:tc>
          <w:tcPr>
            <w:tcW w:type="dxa" w:w="2880"/>
          </w:tcPr>
          <w:p>
            <w:pPr>
              <w:spacing w:after="40"/>
            </w:pPr>
            <w:r/>
            <w:r>
              <w:rPr>
                <w:rFonts w:ascii="Calibri" w:hAnsi="Calibri"/>
                <w:color w:val="565656"/>
                <w:sz w:val="17"/>
              </w:rPr>
              <w:t>4(b)</w:t>
            </w:r>
          </w:p>
        </w:tc>
      </w:tr>
      <w:tr>
        <w:tc>
          <w:tcPr>
            <w:tcW w:type="dxa" w:w="6624"/>
          </w:tcPr>
          <w:p>
            <w:pPr>
              <w:spacing w:after="40"/>
            </w:pPr>
            <w:r/>
            <w:r>
              <w:rPr>
                <w:rFonts w:ascii="Calibri" w:hAnsi="Calibri"/>
                <w:color w:val="565656"/>
                <w:sz w:val="17"/>
              </w:rPr>
              <w:t>Change seniority, refuse promotion, or discharge office-bearers on account of Trade Union activities</w:t>
            </w:r>
          </w:p>
        </w:tc>
        <w:tc>
          <w:tcPr>
            <w:tcW w:type="dxa" w:w="2880"/>
          </w:tcPr>
          <w:p>
            <w:pPr>
              <w:spacing w:after="40"/>
            </w:pPr>
            <w:r/>
            <w:r>
              <w:rPr>
                <w:rFonts w:ascii="Calibri" w:hAnsi="Calibri"/>
                <w:color w:val="565656"/>
                <w:sz w:val="17"/>
              </w:rPr>
              <w:t>4(c), 4(d), 4(f)</w:t>
            </w:r>
          </w:p>
        </w:tc>
      </w:tr>
      <w:tr>
        <w:tc>
          <w:tcPr>
            <w:tcW w:type="dxa" w:w="6624"/>
          </w:tcPr>
          <w:p>
            <w:pPr>
              <w:spacing w:after="40"/>
            </w:pPr>
            <w:r/>
            <w:r>
              <w:rPr>
                <w:rFonts w:ascii="Calibri" w:hAnsi="Calibri"/>
                <w:color w:val="565656"/>
                <w:sz w:val="17"/>
              </w:rPr>
              <w:t>Dismiss by way of victimisation, for patently false reasons, or on trumped up allegations of absence without leave</w:t>
            </w:r>
          </w:p>
        </w:tc>
        <w:tc>
          <w:tcPr>
            <w:tcW w:type="dxa" w:w="2880"/>
          </w:tcPr>
          <w:p>
            <w:pPr>
              <w:spacing w:after="40"/>
            </w:pPr>
            <w:r/>
            <w:r>
              <w:rPr>
                <w:rFonts w:ascii="Calibri" w:hAnsi="Calibri"/>
                <w:color w:val="565656"/>
                <w:sz w:val="17"/>
              </w:rPr>
              <w:t>5(a), 5(d), 5(e)</w:t>
            </w:r>
          </w:p>
        </w:tc>
      </w:tr>
      <w:tr>
        <w:tc>
          <w:tcPr>
            <w:tcW w:type="dxa" w:w="6624"/>
          </w:tcPr>
          <w:p>
            <w:pPr>
              <w:spacing w:after="40"/>
            </w:pPr>
            <w:r/>
            <w:r>
              <w:rPr>
                <w:rFonts w:ascii="Calibri" w:hAnsi="Calibri"/>
                <w:color w:val="565656"/>
                <w:sz w:val="17"/>
              </w:rPr>
              <w:t>Dismiss in utter disregard of the principles of natural justice in the domestic enquiry, or with undue haste</w:t>
            </w:r>
          </w:p>
        </w:tc>
        <w:tc>
          <w:tcPr>
            <w:tcW w:type="dxa" w:w="2880"/>
          </w:tcPr>
          <w:p>
            <w:pPr>
              <w:spacing w:after="40"/>
            </w:pPr>
            <w:r/>
            <w:r>
              <w:rPr>
                <w:rFonts w:ascii="Calibri" w:hAnsi="Calibri"/>
                <w:color w:val="565656"/>
                <w:sz w:val="17"/>
              </w:rPr>
              <w:t>5(f)</w:t>
            </w:r>
          </w:p>
        </w:tc>
      </w:tr>
      <w:tr>
        <w:tc>
          <w:tcPr>
            <w:tcW w:type="dxa" w:w="6624"/>
          </w:tcPr>
          <w:p>
            <w:pPr>
              <w:spacing w:after="40"/>
            </w:pPr>
            <w:r/>
            <w:r>
              <w:rPr>
                <w:rFonts w:ascii="Calibri" w:hAnsi="Calibri"/>
                <w:color w:val="565656"/>
                <w:sz w:val="17"/>
              </w:rPr>
              <w:t>Punish a minor or technical misconduct disproportionately, without regard to its nature or the worker's record</w:t>
            </w:r>
          </w:p>
        </w:tc>
        <w:tc>
          <w:tcPr>
            <w:tcW w:type="dxa" w:w="2880"/>
          </w:tcPr>
          <w:p>
            <w:pPr>
              <w:spacing w:after="40"/>
            </w:pPr>
            <w:r/>
            <w:r>
              <w:rPr>
                <w:rFonts w:ascii="Calibri" w:hAnsi="Calibri"/>
                <w:color w:val="565656"/>
                <w:sz w:val="17"/>
              </w:rPr>
              <w:t>5(g)</w:t>
            </w:r>
          </w:p>
        </w:tc>
      </w:tr>
      <w:tr>
        <w:tc>
          <w:tcPr>
            <w:tcW w:type="dxa" w:w="6624"/>
          </w:tcPr>
          <w:p>
            <w:pPr>
              <w:spacing w:after="40"/>
            </w:pPr>
            <w:r/>
            <w:r>
              <w:rPr>
                <w:rFonts w:ascii="Calibri" w:hAnsi="Calibri"/>
                <w:color w:val="565656"/>
                <w:sz w:val="17"/>
              </w:rPr>
              <w:t>Transfer a worker mala fide under the guise of management policy</w:t>
            </w:r>
          </w:p>
        </w:tc>
        <w:tc>
          <w:tcPr>
            <w:tcW w:type="dxa" w:w="2880"/>
          </w:tcPr>
          <w:p>
            <w:pPr>
              <w:spacing w:after="40"/>
            </w:pPr>
            <w:r/>
            <w:r>
              <w:rPr>
                <w:rFonts w:ascii="Calibri" w:hAnsi="Calibri"/>
                <w:color w:val="565656"/>
                <w:sz w:val="17"/>
              </w:rPr>
              <w:t>7</w:t>
            </w:r>
          </w:p>
        </w:tc>
      </w:tr>
    </w:tbl>
    <w:p>
      <w:pPr>
        <w:keepNext w:val="0"/>
        <w:spacing w:after="200" w:before="0"/>
      </w:pPr>
      <w:r>
        <w:rPr>
          <w:rFonts w:ascii="Calibri" w:hAnsi="Calibri"/>
          <w:b w:val="0"/>
          <w:i w:val="0"/>
          <w:color w:val="1D1D1D"/>
          <w:sz w:val="21"/>
        </w:rPr>
      </w:r>
    </w:p>
    <w:p>
      <w:pPr>
        <w:keepNext w:val="0"/>
        <w:spacing w:after="160" w:before="0"/>
        <w:ind w:left="173"/>
        <w:shd w:val="clear" w:fill="FFF6E5"/>
      </w:pPr>
      <w:r>
        <w:rPr>
          <w:rFonts w:ascii="Calibri" w:hAnsi="Calibri"/>
          <w:b w:val="0"/>
          <w:i w:val="0"/>
          <w:color w:val="1D1D1D"/>
          <w:sz w:val="20"/>
        </w:rPr>
        <w:t>Two of these bite on PROCEDURE, not on the words of the clause. 5(f) and 5(g) are about how an inquiry is run and how the punishment fits, so a perfectly lawful misconduct list applied in haste or out of proportion is still an unfair labour practice. Format 08 carries the ninety day inquiry clock for that reason.</w:t>
      </w:r>
    </w:p>
    <w:p>
      <w:pPr>
        <w:spacing w:after="120"/>
        <w:ind w:left="288"/>
      </w:pPr>
      <w:r>
        <w:rPr>
          <w:rFonts w:ascii="Calibri" w:hAnsi="Calibri"/>
          <w:b/>
          <w:color w:val="0069A4"/>
          <w:sz w:val="17"/>
        </w:rPr>
        <w:t xml:space="preserve">Rests on  </w:t>
      </w:r>
      <w:r>
        <w:rPr>
          <w:rFonts w:ascii="Calibri" w:hAnsi="Calibri"/>
          <w:i/>
          <w:color w:val="565656"/>
          <w:sz w:val="17"/>
        </w:rPr>
        <w:t>IR Code, 2020, s.30(7), s.86(5), and the Second Schedule, Part I</w:t>
      </w:r>
    </w:p>
    <w:p>
      <w:r>
        <w:br w:type="page"/>
      </w:r>
    </w:p>
    <w:p>
      <w:pPr>
        <w:pStyle w:val="Heading1"/>
        <w:keepNext/>
        <w:spacing w:after="200" w:before="80"/>
        <w:ind w:left="115"/>
        <w:shd w:val="clear" w:fill="008CDB"/>
      </w:pPr>
      <w:r>
        <w:rPr>
          <w:rFonts w:ascii="Calibri" w:hAnsi="Calibri"/>
          <w:b/>
          <w:color w:val="FFFFFF"/>
          <w:sz w:val="22"/>
        </w:rPr>
        <w:t>9  ·  WHAT THIS PACK DOES NOT CLAIM</w:t>
      </w:r>
    </w:p>
    <w:p>
      <w:pPr>
        <w:keepNext w:val="0"/>
        <w:spacing w:after="200" w:before="0"/>
      </w:pPr>
      <w:r>
        <w:rPr>
          <w:rFonts w:ascii="Calibri" w:hAnsi="Calibri"/>
          <w:b w:val="0"/>
          <w:i w:val="0"/>
          <w:color w:val="1D1D1D"/>
          <w:sz w:val="21"/>
        </w:rPr>
        <w:t>Four things, and the last one is what standing orders buy you.</w:t>
      </w:r>
    </w:p>
    <w:p>
      <w:pPr>
        <w:keepNext w:val="0"/>
        <w:spacing w:after="80" w:before="0"/>
      </w:pPr>
      <w:r>
        <w:rPr>
          <w:rFonts w:ascii="Calibri" w:hAnsi="Calibri"/>
          <w:b/>
          <w:i w:val="0"/>
          <w:color w:val="1D1D1D"/>
          <w:sz w:val="22"/>
        </w:rPr>
        <w:t>That the model text here is the gazetted text</w:t>
      </w:r>
    </w:p>
    <w:p>
      <w:pPr>
        <w:keepNext w:val="0"/>
        <w:spacing w:after="200" w:before="0"/>
      </w:pPr>
      <w:r>
        <w:rPr>
          <w:rFonts w:ascii="Calibri" w:hAnsi="Calibri"/>
          <w:b w:val="0"/>
          <w:i w:val="0"/>
          <w:color w:val="1D1D1D"/>
          <w:sz w:val="20"/>
        </w:rPr>
        <w:t>Format 02 is drafted ON the Model Standing Orders, 2026 and covers every First Schedule matter, but it is our drafting, not a reproduction of S.O. 2312(E). Where you adopt the model outright under section 30(3), adopt the gazetted text itself and use Format 03 to do it.</w:t>
      </w:r>
    </w:p>
    <w:p>
      <w:pPr>
        <w:keepNext w:val="0"/>
        <w:spacing w:after="80" w:before="0"/>
      </w:pPr>
      <w:r>
        <w:rPr>
          <w:rFonts w:ascii="Calibri" w:hAnsi="Calibri"/>
          <w:b/>
          <w:i w:val="0"/>
          <w:color w:val="1D1D1D"/>
          <w:sz w:val="22"/>
        </w:rPr>
        <w:t>That your State has prescribed nothing further</w:t>
      </w:r>
    </w:p>
    <w:p>
      <w:pPr>
        <w:keepNext w:val="0"/>
        <w:spacing w:after="200" w:before="0"/>
      </w:pPr>
      <w:r>
        <w:rPr>
          <w:rFonts w:ascii="Calibri" w:hAnsi="Calibri"/>
          <w:b w:val="0"/>
          <w:i w:val="0"/>
          <w:color w:val="1D1D1D"/>
          <w:sz w:val="20"/>
        </w:rPr>
        <w:t>The Chapter is central and binds everywhere, and so does every clock the Code itself fixes. But the certifying officer, the appellate authority, the prescribed manner of forwarding, the contents of the statement, the languages and the board, the register and any exemption under section 39 come from the appropriate Government. Section 2(b)(i) makes that the Central Government for railways and metro railways, mines, oil fields, major ports, air transport, telecommunication, banking and insurance, corporations set up by a Central Act, central public sector undertakings and contractors to any of those, and section 2(b)(ii) makes it the State Government for every other industrial establishment. So for most private establishments that is your State, and no State rules were read for this pack. Section 6 gives you the central shape to compare yours against.</w:t>
      </w:r>
    </w:p>
    <w:p>
      <w:pPr>
        <w:keepNext w:val="0"/>
        <w:spacing w:after="80" w:before="0"/>
      </w:pPr>
      <w:r>
        <w:rPr>
          <w:rFonts w:ascii="Calibri" w:hAnsi="Calibri"/>
          <w:b/>
          <w:i w:val="0"/>
          <w:color w:val="1D1D1D"/>
          <w:sz w:val="22"/>
        </w:rPr>
        <w:t>That certification is the same as compliance</w:t>
      </w:r>
    </w:p>
    <w:p>
      <w:pPr>
        <w:keepNext w:val="0"/>
        <w:spacing w:after="200" w:before="0"/>
      </w:pPr>
      <w:r>
        <w:rPr>
          <w:rFonts w:ascii="Calibri" w:hAnsi="Calibri"/>
          <w:b w:val="0"/>
          <w:i w:val="0"/>
          <w:color w:val="1D1D1D"/>
          <w:sz w:val="20"/>
        </w:rPr>
        <w:t>Section 33(2) makes the employer maintain the text for the workers' information in the prescribed language and manner, and section 36 only helps you if the workers can be shown to have had it. Certified orders in a drawer are a document, not a defence.</w:t>
      </w:r>
    </w:p>
    <w:p>
      <w:pPr>
        <w:keepNext w:val="0"/>
        <w:spacing w:after="80" w:before="0"/>
      </w:pPr>
      <w:r>
        <w:rPr>
          <w:rFonts w:ascii="Calibri" w:hAnsi="Calibri"/>
          <w:b/>
          <w:i w:val="0"/>
          <w:color w:val="1D1D1D"/>
          <w:sz w:val="22"/>
        </w:rPr>
        <w:t>What standing orders actually buy you</w:t>
      </w:r>
    </w:p>
    <w:p>
      <w:pPr>
        <w:keepNext w:val="0"/>
        <w:spacing w:after="200" w:before="0"/>
        <w:ind w:left="173"/>
        <w:shd w:val="clear" w:fill="FFF6E5"/>
      </w:pPr>
      <w:r>
        <w:rPr>
          <w:rFonts w:ascii="Calibri" w:hAnsi="Calibri"/>
          <w:b w:val="0"/>
          <w:i w:val="0"/>
          <w:color w:val="1D1D1D"/>
          <w:sz w:val="20"/>
        </w:rPr>
        <w:t>Section 36: no oral evidence having the effect of adding to or otherwise varying or contradicting standing orders as finally certified shall be admitted in any Court. That is the point of the exercise. Once certified, the terms are the terms, and nobody can testify that something else was agreed. Section 37 then sends any question of their application or interpretation to the Tribunal, whose decision is final and binding.</w:t>
      </w:r>
    </w:p>
    <w:p>
      <w:pPr>
        <w:spacing w:after="120"/>
        <w:ind w:left="288"/>
      </w:pPr>
      <w:r>
        <w:rPr>
          <w:rFonts w:ascii="Calibri" w:hAnsi="Calibri"/>
          <w:b/>
          <w:color w:val="0069A4"/>
          <w:sz w:val="17"/>
        </w:rPr>
        <w:t xml:space="preserve">Rests on  </w:t>
      </w:r>
      <w:r>
        <w:rPr>
          <w:rFonts w:ascii="Calibri" w:hAnsi="Calibri"/>
          <w:i/>
          <w:color w:val="565656"/>
          <w:sz w:val="17"/>
        </w:rPr>
        <w:t>IR Code, 2020, s.33(2), s.36, s.37 and s.39</w:t>
      </w:r>
    </w:p>
    <w:p>
      <w:r>
        <w:br w:type="page"/>
      </w:r>
    </w:p>
    <w:p>
      <w:pPr>
        <w:pStyle w:val="Heading1"/>
        <w:keepNext/>
        <w:spacing w:after="200" w:before="80"/>
        <w:ind w:left="115"/>
        <w:shd w:val="clear" w:fill="008CDB"/>
      </w:pPr>
      <w:r>
        <w:rPr>
          <w:rFonts w:ascii="Calibri" w:hAnsi="Calibri"/>
          <w:b/>
          <w:color w:val="FFFFFF"/>
          <w:sz w:val="22"/>
        </w:rPr>
        <w:t>10  ·  TEN FORMATS, AND WHEN TO USE EACH</w:t>
      </w:r>
    </w:p>
    <w:tbl>
      <w:tblPr>
        <w:tblStyle w:val="TableGrid"/>
        <w:tblW w:type="auto" w:w="0"/>
        <w:tblLook w:firstColumn="1" w:firstRow="1" w:lastColumn="0" w:lastRow="0" w:noHBand="0" w:noVBand="1" w:val="04A0"/>
      </w:tblPr>
      <w:tblGrid>
        <w:gridCol w:w="3216"/>
        <w:gridCol w:w="3216"/>
        <w:gridCol w:w="3216"/>
      </w:tblGrid>
      <w:tr>
        <w:tc>
          <w:tcPr>
            <w:tcW w:type="dxa" w:w="576"/>
          </w:tcPr>
          <w:p>
            <w:pPr>
              <w:spacing w:after="40"/>
              <w:shd w:val="clear" w:fill="E8F4FC"/>
            </w:pPr>
            <w:r/>
            <w:r>
              <w:rPr>
                <w:rFonts w:ascii="Calibri" w:hAnsi="Calibri"/>
                <w:b/>
                <w:color w:val="0069A4"/>
                <w:sz w:val="17"/>
              </w:rPr>
              <w:t>#</w:t>
            </w:r>
          </w:p>
        </w:tc>
        <w:tc>
          <w:tcPr>
            <w:tcW w:type="dxa" w:w="3024"/>
          </w:tcPr>
          <w:p>
            <w:pPr>
              <w:spacing w:after="40"/>
              <w:shd w:val="clear" w:fill="E8F4FC"/>
            </w:pPr>
            <w:r/>
            <w:r>
              <w:rPr>
                <w:rFonts w:ascii="Calibri" w:hAnsi="Calibri"/>
                <w:b/>
                <w:color w:val="0069A4"/>
                <w:sz w:val="17"/>
              </w:rPr>
              <w:t>Format</w:t>
            </w:r>
          </w:p>
        </w:tc>
        <w:tc>
          <w:tcPr>
            <w:tcW w:type="dxa" w:w="5760"/>
          </w:tcPr>
          <w:p>
            <w:pPr>
              <w:spacing w:after="40"/>
              <w:shd w:val="clear" w:fill="E8F4FC"/>
            </w:pPr>
            <w:r/>
            <w:r>
              <w:rPr>
                <w:rFonts w:ascii="Calibri" w:hAnsi="Calibri"/>
                <w:b/>
                <w:color w:val="0069A4"/>
                <w:sz w:val="17"/>
              </w:rPr>
              <w:t>When you use it</w:t>
            </w:r>
          </w:p>
        </w:tc>
      </w:tr>
      <w:tr>
        <w:tc>
          <w:tcPr>
            <w:tcW w:type="dxa" w:w="576"/>
          </w:tcPr>
          <w:p>
            <w:pPr>
              <w:spacing w:after="40"/>
            </w:pPr>
            <w:r/>
            <w:r>
              <w:rPr>
                <w:rFonts w:ascii="Calibri" w:hAnsi="Calibri"/>
                <w:color w:val="565656"/>
                <w:sz w:val="17"/>
              </w:rPr>
              <w:t>01</w:t>
            </w:r>
          </w:p>
        </w:tc>
        <w:tc>
          <w:tcPr>
            <w:tcW w:type="dxa" w:w="3024"/>
          </w:tcPr>
          <w:p>
            <w:pPr>
              <w:spacing w:after="40"/>
            </w:pPr>
            <w:r/>
            <w:r>
              <w:rPr>
                <w:rFonts w:ascii="Calibri" w:hAnsi="Calibri"/>
                <w:color w:val="565656"/>
                <w:sz w:val="17"/>
              </w:rPr>
              <w:t>Applicability worksheet</w:t>
            </w:r>
          </w:p>
        </w:tc>
        <w:tc>
          <w:tcPr>
            <w:tcW w:type="dxa" w:w="5760"/>
          </w:tcPr>
          <w:p>
            <w:pPr>
              <w:spacing w:after="40"/>
            </w:pPr>
            <w:r/>
            <w:r>
              <w:rPr>
                <w:rFonts w:ascii="Calibri" w:hAnsi="Calibri"/>
                <w:color w:val="565656"/>
                <w:sz w:val="17"/>
              </w:rPr>
              <w:t>Fill it first. It counts the twelve-month lookback the way section 28(1) counts it, and tells you which of the three routes is yours.</w:t>
            </w:r>
          </w:p>
        </w:tc>
      </w:tr>
      <w:tr>
        <w:tc>
          <w:tcPr>
            <w:tcW w:type="dxa" w:w="576"/>
          </w:tcPr>
          <w:p>
            <w:pPr>
              <w:spacing w:after="40"/>
            </w:pPr>
            <w:r/>
            <w:r>
              <w:rPr>
                <w:rFonts w:ascii="Calibri" w:hAnsi="Calibri"/>
                <w:color w:val="565656"/>
                <w:sz w:val="17"/>
              </w:rPr>
              <w:t>02</w:t>
            </w:r>
          </w:p>
        </w:tc>
        <w:tc>
          <w:tcPr>
            <w:tcW w:type="dxa" w:w="3024"/>
          </w:tcPr>
          <w:p>
            <w:pPr>
              <w:spacing w:after="40"/>
            </w:pPr>
            <w:r/>
            <w:r>
              <w:rPr>
                <w:rFonts w:ascii="Calibri" w:hAnsi="Calibri"/>
                <w:color w:val="565656"/>
                <w:sz w:val="17"/>
              </w:rPr>
              <w:t>Standing orders, drafted on the model</w:t>
            </w:r>
          </w:p>
        </w:tc>
        <w:tc>
          <w:tcPr>
            <w:tcW w:type="dxa" w:w="5760"/>
          </w:tcPr>
          <w:p>
            <w:pPr>
              <w:spacing w:after="40"/>
            </w:pPr>
            <w:r/>
            <w:r>
              <w:rPr>
                <w:rFonts w:ascii="Calibri" w:hAnsi="Calibri"/>
                <w:color w:val="565656"/>
                <w:sz w:val="17"/>
              </w:rPr>
              <w:t>All eleven First Schedule matters in the Schedule's own order, each marked with the item it answers.</w:t>
            </w:r>
          </w:p>
        </w:tc>
      </w:tr>
      <w:tr>
        <w:tc>
          <w:tcPr>
            <w:tcW w:type="dxa" w:w="576"/>
          </w:tcPr>
          <w:p>
            <w:pPr>
              <w:spacing w:after="40"/>
            </w:pPr>
            <w:r/>
            <w:r>
              <w:rPr>
                <w:rFonts w:ascii="Calibri" w:hAnsi="Calibri"/>
                <w:color w:val="565656"/>
                <w:sz w:val="17"/>
              </w:rPr>
              <w:t>03</w:t>
            </w:r>
          </w:p>
        </w:tc>
        <w:tc>
          <w:tcPr>
            <w:tcW w:type="dxa" w:w="3024"/>
          </w:tcPr>
          <w:p>
            <w:pPr>
              <w:spacing w:after="40"/>
            </w:pPr>
            <w:r/>
            <w:r>
              <w:rPr>
                <w:rFonts w:ascii="Calibri" w:hAnsi="Calibri"/>
                <w:color w:val="565656"/>
                <w:sz w:val="17"/>
              </w:rPr>
              <w:t>Letter adopting the Model Standing Orders</w:t>
            </w:r>
          </w:p>
        </w:tc>
        <w:tc>
          <w:tcPr>
            <w:tcW w:type="dxa" w:w="5760"/>
          </w:tcPr>
          <w:p>
            <w:pPr>
              <w:spacing w:after="40"/>
            </w:pPr>
            <w:r/>
            <w:r>
              <w:rPr>
                <w:rFonts w:ascii="Calibri" w:hAnsi="Calibri"/>
                <w:color w:val="565656"/>
                <w:sz w:val="17"/>
              </w:rPr>
              <w:t>The section 30(3) route: adopt, inform the certifying officer, and the orders are deemed certified.</w:t>
            </w:r>
          </w:p>
        </w:tc>
      </w:tr>
      <w:tr>
        <w:tc>
          <w:tcPr>
            <w:tcW w:type="dxa" w:w="576"/>
          </w:tcPr>
          <w:p>
            <w:pPr>
              <w:spacing w:after="40"/>
            </w:pPr>
            <w:r/>
            <w:r>
              <w:rPr>
                <w:rFonts w:ascii="Calibri" w:hAnsi="Calibri"/>
                <w:color w:val="565656"/>
                <w:sz w:val="17"/>
              </w:rPr>
              <w:t>04</w:t>
            </w:r>
          </w:p>
        </w:tc>
        <w:tc>
          <w:tcPr>
            <w:tcW w:type="dxa" w:w="3024"/>
          </w:tcPr>
          <w:p>
            <w:pPr>
              <w:spacing w:after="40"/>
            </w:pPr>
            <w:r/>
            <w:r>
              <w:rPr>
                <w:rFonts w:ascii="Calibri" w:hAnsi="Calibri"/>
                <w:color w:val="565656"/>
                <w:sz w:val="17"/>
              </w:rPr>
              <w:t>Covering letter forwarding the draft for certification</w:t>
            </w:r>
          </w:p>
        </w:tc>
        <w:tc>
          <w:tcPr>
            <w:tcW w:type="dxa" w:w="5760"/>
          </w:tcPr>
          <w:p>
            <w:pPr>
              <w:spacing w:after="40"/>
            </w:pPr>
            <w:r/>
            <w:r>
              <w:rPr>
                <w:rFonts w:ascii="Calibri" w:hAnsi="Calibri"/>
                <w:color w:val="565656"/>
                <w:sz w:val="17"/>
              </w:rPr>
              <w:t>With the section 30(9) statement of particulars attached.</w:t>
            </w:r>
          </w:p>
        </w:tc>
      </w:tr>
      <w:tr>
        <w:tc>
          <w:tcPr>
            <w:tcW w:type="dxa" w:w="576"/>
          </w:tcPr>
          <w:p>
            <w:pPr>
              <w:spacing w:after="40"/>
            </w:pPr>
            <w:r/>
            <w:r>
              <w:rPr>
                <w:rFonts w:ascii="Calibri" w:hAnsi="Calibri"/>
                <w:color w:val="565656"/>
                <w:sz w:val="17"/>
              </w:rPr>
              <w:t>05</w:t>
            </w:r>
          </w:p>
        </w:tc>
        <w:tc>
          <w:tcPr>
            <w:tcW w:type="dxa" w:w="3024"/>
          </w:tcPr>
          <w:p>
            <w:pPr>
              <w:spacing w:after="40"/>
            </w:pPr>
            <w:r/>
            <w:r>
              <w:rPr>
                <w:rFonts w:ascii="Calibri" w:hAnsi="Calibri"/>
                <w:color w:val="565656"/>
                <w:sz w:val="17"/>
              </w:rPr>
              <w:t>Statement of particulars of workers</w:t>
            </w:r>
          </w:p>
        </w:tc>
        <w:tc>
          <w:tcPr>
            <w:tcW w:type="dxa" w:w="5760"/>
          </w:tcPr>
          <w:p>
            <w:pPr>
              <w:spacing w:after="40"/>
            </w:pPr>
            <w:r/>
            <w:r>
              <w:rPr>
                <w:rFonts w:ascii="Calibri" w:hAnsi="Calibri"/>
                <w:color w:val="565656"/>
                <w:sz w:val="17"/>
              </w:rPr>
              <w:t>Section 30(9) requires the draft to be accompanied by particulars of the workers, their Trade Union, and the negotiating union or council.</w:t>
            </w:r>
          </w:p>
        </w:tc>
      </w:tr>
      <w:tr>
        <w:tc>
          <w:tcPr>
            <w:tcW w:type="dxa" w:w="576"/>
          </w:tcPr>
          <w:p>
            <w:pPr>
              <w:spacing w:after="40"/>
            </w:pPr>
            <w:r/>
            <w:r>
              <w:rPr>
                <w:rFonts w:ascii="Calibri" w:hAnsi="Calibri"/>
                <w:color w:val="565656"/>
                <w:sz w:val="17"/>
              </w:rPr>
              <w:t>06</w:t>
            </w:r>
          </w:p>
        </w:tc>
        <w:tc>
          <w:tcPr>
            <w:tcW w:type="dxa" w:w="3024"/>
          </w:tcPr>
          <w:p>
            <w:pPr>
              <w:spacing w:after="40"/>
            </w:pPr>
            <w:r/>
            <w:r>
              <w:rPr>
                <w:rFonts w:ascii="Calibri" w:hAnsi="Calibri"/>
                <w:color w:val="565656"/>
                <w:sz w:val="17"/>
              </w:rPr>
              <w:t>Record of consultation with the union</w:t>
            </w:r>
          </w:p>
        </w:tc>
        <w:tc>
          <w:tcPr>
            <w:tcW w:type="dxa" w:w="5760"/>
          </w:tcPr>
          <w:p>
            <w:pPr>
              <w:spacing w:after="40"/>
            </w:pPr>
            <w:r/>
            <w:r>
              <w:rPr>
                <w:rFonts w:ascii="Calibri" w:hAnsi="Calibri"/>
                <w:color w:val="565656"/>
                <w:sz w:val="17"/>
              </w:rPr>
              <w:t>Section 30(2) makes consultation a step, not a courtesy. This is the note that proves it happened.</w:t>
            </w:r>
          </w:p>
        </w:tc>
      </w:tr>
      <w:tr>
        <w:tc>
          <w:tcPr>
            <w:tcW w:type="dxa" w:w="576"/>
          </w:tcPr>
          <w:p>
            <w:pPr>
              <w:spacing w:after="40"/>
            </w:pPr>
            <w:r/>
            <w:r>
              <w:rPr>
                <w:rFonts w:ascii="Calibri" w:hAnsi="Calibri"/>
                <w:color w:val="565656"/>
                <w:sz w:val="17"/>
              </w:rPr>
              <w:t>07</w:t>
            </w:r>
          </w:p>
        </w:tc>
        <w:tc>
          <w:tcPr>
            <w:tcW w:type="dxa" w:w="3024"/>
          </w:tcPr>
          <w:p>
            <w:pPr>
              <w:spacing w:after="40"/>
            </w:pPr>
            <w:r/>
            <w:r>
              <w:rPr>
                <w:rFonts w:ascii="Calibri" w:hAnsi="Calibri"/>
                <w:color w:val="565656"/>
                <w:sz w:val="17"/>
              </w:rPr>
              <w:t>Notice board copy for workers</w:t>
            </w:r>
          </w:p>
        </w:tc>
        <w:tc>
          <w:tcPr>
            <w:tcW w:type="dxa" w:w="5760"/>
          </w:tcPr>
          <w:p>
            <w:pPr>
              <w:spacing w:after="40"/>
            </w:pPr>
            <w:r/>
            <w:r>
              <w:rPr>
                <w:rFonts w:ascii="Calibri" w:hAnsi="Calibri"/>
                <w:color w:val="565656"/>
                <w:sz w:val="17"/>
              </w:rPr>
              <w:t>Section 33(2) makes the employer maintain the text for the information of the workers, in the prescribed language and manner.</w:t>
            </w:r>
          </w:p>
        </w:tc>
      </w:tr>
      <w:tr>
        <w:tc>
          <w:tcPr>
            <w:tcW w:type="dxa" w:w="576"/>
          </w:tcPr>
          <w:p>
            <w:pPr>
              <w:spacing w:after="40"/>
            </w:pPr>
            <w:r/>
            <w:r>
              <w:rPr>
                <w:rFonts w:ascii="Calibri" w:hAnsi="Calibri"/>
                <w:color w:val="565656"/>
                <w:sz w:val="17"/>
              </w:rPr>
              <w:t>08</w:t>
            </w:r>
          </w:p>
        </w:tc>
        <w:tc>
          <w:tcPr>
            <w:tcW w:type="dxa" w:w="3024"/>
          </w:tcPr>
          <w:p>
            <w:pPr>
              <w:spacing w:after="40"/>
            </w:pPr>
            <w:r/>
            <w:r>
              <w:rPr>
                <w:rFonts w:ascii="Calibri" w:hAnsi="Calibri"/>
                <w:color w:val="565656"/>
                <w:sz w:val="17"/>
              </w:rPr>
              <w:t>Suspension and subsistence allowance calculator</w:t>
            </w:r>
          </w:p>
        </w:tc>
        <w:tc>
          <w:tcPr>
            <w:tcW w:type="dxa" w:w="5760"/>
          </w:tcPr>
          <w:p>
            <w:pPr>
              <w:spacing w:after="40"/>
            </w:pPr>
            <w:r/>
            <w:r>
              <w:rPr>
                <w:rFonts w:ascii="Calibri" w:hAnsi="Calibri"/>
                <w:color w:val="565656"/>
                <w:sz w:val="17"/>
              </w:rPr>
              <w:t>Fifty per cent for ninety days, then seventy-five, with the ninety-day inquiry clock alongside it.</w:t>
            </w:r>
          </w:p>
        </w:tc>
      </w:tr>
      <w:tr>
        <w:tc>
          <w:tcPr>
            <w:tcW w:type="dxa" w:w="576"/>
          </w:tcPr>
          <w:p>
            <w:pPr>
              <w:spacing w:after="40"/>
            </w:pPr>
            <w:r/>
            <w:r>
              <w:rPr>
                <w:rFonts w:ascii="Calibri" w:hAnsi="Calibri"/>
                <w:color w:val="565656"/>
                <w:sz w:val="17"/>
              </w:rPr>
              <w:t>09</w:t>
            </w:r>
          </w:p>
        </w:tc>
        <w:tc>
          <w:tcPr>
            <w:tcW w:type="dxa" w:w="3024"/>
          </w:tcPr>
          <w:p>
            <w:pPr>
              <w:spacing w:after="40"/>
            </w:pPr>
            <w:r/>
            <w:r>
              <w:rPr>
                <w:rFonts w:ascii="Calibri" w:hAnsi="Calibri"/>
                <w:color w:val="565656"/>
                <w:sz w:val="17"/>
              </w:rPr>
              <w:t>Modification application</w:t>
            </w:r>
          </w:p>
        </w:tc>
        <w:tc>
          <w:tcPr>
            <w:tcW w:type="dxa" w:w="5760"/>
          </w:tcPr>
          <w:p>
            <w:pPr>
              <w:spacing w:after="40"/>
            </w:pPr>
            <w:r/>
            <w:r>
              <w:rPr>
                <w:rFonts w:ascii="Calibri" w:hAnsi="Calibri"/>
                <w:color w:val="565656"/>
                <w:sz w:val="17"/>
              </w:rPr>
              <w:t>After six months, or at any time by agreement, with the certified copy of the agreement section 35(2) asks for.</w:t>
            </w:r>
          </w:p>
        </w:tc>
      </w:tr>
      <w:tr>
        <w:tc>
          <w:tcPr>
            <w:tcW w:type="dxa" w:w="576"/>
          </w:tcPr>
          <w:p>
            <w:pPr>
              <w:spacing w:after="40"/>
            </w:pPr>
            <w:r/>
            <w:r>
              <w:rPr>
                <w:rFonts w:ascii="Calibri" w:hAnsi="Calibri"/>
                <w:color w:val="565656"/>
                <w:sz w:val="17"/>
              </w:rPr>
              <w:t>10</w:t>
            </w:r>
          </w:p>
        </w:tc>
        <w:tc>
          <w:tcPr>
            <w:tcW w:type="dxa" w:w="3024"/>
          </w:tcPr>
          <w:p>
            <w:pPr>
              <w:spacing w:after="40"/>
            </w:pPr>
            <w:r/>
            <w:r>
              <w:rPr>
                <w:rFonts w:ascii="Calibri" w:hAnsi="Calibri"/>
                <w:color w:val="565656"/>
                <w:sz w:val="17"/>
              </w:rPr>
              <w:t>Certification tracker</w:t>
            </w:r>
          </w:p>
        </w:tc>
        <w:tc>
          <w:tcPr>
            <w:tcW w:type="dxa" w:w="5760"/>
          </w:tcPr>
          <w:p>
            <w:pPr>
              <w:spacing w:after="40"/>
            </w:pPr>
            <w:r/>
            <w:r>
              <w:rPr>
                <w:rFonts w:ascii="Calibri" w:hAnsi="Calibri"/>
                <w:color w:val="565656"/>
                <w:sz w:val="17"/>
              </w:rPr>
              <w:t>Every clock in Chapter IV on one page, split by route: the thirty days the certifying officer has to object to an adoption, and the sixty after which a draft is deemed certified by default.</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8"/>
        </w:rPr>
        <w:t>Square brackets mark everything you replace. Dates are DD-MMM-YYYY throughout. [NAME] is a different person in different formats, so fill them in place rather than reaching for Find and Replace.</w:t>
      </w:r>
    </w:p>
    <w:p>
      <w:r>
        <w:br w:type="page"/>
      </w:r>
    </w:p>
    <w:p>
      <w:pPr>
        <w:pStyle w:val="Heading1"/>
        <w:keepNext/>
        <w:spacing w:after="200" w:before="80"/>
        <w:ind w:left="115"/>
        <w:shd w:val="clear" w:fill="008CDB"/>
      </w:pPr>
      <w:r>
        <w:rPr>
          <w:rFonts w:ascii="Calibri" w:hAnsi="Calibri"/>
          <w:b/>
          <w:color w:val="FFFFFF"/>
          <w:sz w:val="22"/>
        </w:rPr>
        <w:t>11  ·  THE FORMATS</w:t>
      </w:r>
    </w:p>
    <w:p>
      <w:pPr>
        <w:keepNext w:val="0"/>
        <w:spacing w:after="160" w:before="0"/>
        <w:ind w:left="173"/>
        <w:shd w:val="clear" w:fill="E8F4FC"/>
      </w:pPr>
      <w:r>
        <w:rPr>
          <w:rFonts w:ascii="Calibri" w:hAnsi="Calibri"/>
          <w:b w:val="0"/>
          <w:i w:val="0"/>
          <w:color w:val="1D1D1D"/>
          <w:sz w:val="20"/>
        </w:rPr>
        <w:t>BEFORE FORMAT 03, GET THE MODEL TEXT. Adopting means adopting the gazetted Model Standing Orders, 2026 themselves, not this pack’s drafting, and section 33(2) with rule 16 makes you maintain THAT text for the workers. It is S.O. 2312(E) of 08-May-2026, Gazette ID CG-DL-E-08052026-272341, and the PDF is served directly at https://egazette.gov.in/WriteReadData/2026/272341.pdf. Download it, keep a copy with your certification file, and use Format 07 to put it on the board.</w:t>
      </w:r>
    </w:p>
    <w:p>
      <w:pPr>
        <w:pStyle w:val="Heading1"/>
        <w:keepNext/>
        <w:spacing w:after="200" w:before="80"/>
        <w:ind w:left="115"/>
        <w:shd w:val="clear" w:fill="0069A4"/>
      </w:pPr>
      <w:r>
        <w:rPr>
          <w:rFonts w:ascii="Calibri" w:hAnsi="Calibri"/>
          <w:b/>
          <w:color w:val="FFFFFF"/>
          <w:sz w:val="20"/>
        </w:rPr>
        <w:t>FORMAT 01  ·  APPLICABILITY WORKSHEET</w:t>
      </w:r>
    </w:p>
    <w:p>
      <w:pPr>
        <w:keepNext w:val="0"/>
        <w:spacing w:after="160" w:before="0"/>
        <w:ind w:left="144"/>
        <w:shd w:val="clear" w:fill="F4FAFE"/>
      </w:pPr>
      <w:r>
        <w:rPr>
          <w:rFonts w:ascii="Calibri" w:hAnsi="Calibri"/>
          <w:b w:val="0"/>
          <w:i/>
          <w:color w:val="565656"/>
          <w:sz w:val="18"/>
        </w:rPr>
        <w:t>Fill it first. It counts the twelve-month lookback the way section 28(1) counts it, and tells you which of the three routes is yours.</w:t>
      </w:r>
    </w:p>
    <w:p>
      <w:pPr>
        <w:keepNext w:val="0"/>
        <w:spacing w:after="40" w:before="0"/>
      </w:pPr>
      <w:r>
        <w:rPr>
          <w:rFonts w:ascii="Calibri" w:hAnsi="Calibri"/>
          <w:b/>
          <w:i w:val="0"/>
          <w:color w:val="1D1D1D"/>
          <w:sz w:val="26"/>
        </w:rPr>
        <w:t>APPLICABILITY WORKSHEET</w:t>
      </w:r>
    </w:p>
    <w:p>
      <w:pPr>
        <w:keepNext w:val="0"/>
        <w:spacing w:after="200" w:before="0"/>
      </w:pPr>
      <w:r>
        <w:rPr>
          <w:rFonts w:ascii="Calibri" w:hAnsi="Calibri"/>
          <w:b w:val="0"/>
          <w:i w:val="0"/>
          <w:color w:val="565656"/>
          <w:sz w:val="19"/>
        </w:rPr>
        <w:t>Counted on [DD-MMM-YYYY] by [NAME], [DESIGNATION]</w:t>
      </w:r>
    </w:p>
    <w:tbl>
      <w:tblPr>
        <w:tblStyle w:val="TableGrid"/>
        <w:tblW w:type="auto" w:w="0"/>
        <w:tblLook w:firstColumn="1" w:firstRow="1" w:lastColumn="0" w:lastRow="0" w:noHBand="0" w:noVBand="1" w:val="04A0"/>
      </w:tblPr>
      <w:tblGrid>
        <w:gridCol w:w="3216"/>
        <w:gridCol w:w="3216"/>
        <w:gridCol w:w="3216"/>
      </w:tblGrid>
      <w:tr>
        <w:tc>
          <w:tcPr>
            <w:tcW w:type="dxa" w:w="3456"/>
          </w:tcPr>
          <w:p>
            <w:pPr>
              <w:spacing w:after="40"/>
              <w:shd w:val="clear" w:fill="E8F4FC"/>
            </w:pPr>
            <w:r/>
            <w:r>
              <w:rPr>
                <w:rFonts w:ascii="Calibri" w:hAnsi="Calibri"/>
                <w:b/>
                <w:color w:val="0069A4"/>
                <w:sz w:val="17"/>
              </w:rPr>
              <w:t>Question</w:t>
            </w:r>
          </w:p>
        </w:tc>
        <w:tc>
          <w:tcPr>
            <w:tcW w:type="dxa" w:w="1728"/>
          </w:tcPr>
          <w:p>
            <w:pPr>
              <w:spacing w:after="40"/>
              <w:shd w:val="clear" w:fill="E8F4FC"/>
            </w:pPr>
            <w:r/>
            <w:r>
              <w:rPr>
                <w:rFonts w:ascii="Calibri" w:hAnsi="Calibri"/>
                <w:b/>
                <w:color w:val="0069A4"/>
                <w:sz w:val="17"/>
              </w:rPr>
              <w:t>Your answer</w:t>
            </w:r>
          </w:p>
        </w:tc>
        <w:tc>
          <w:tcPr>
            <w:tcW w:type="dxa" w:w="4176"/>
          </w:tcPr>
          <w:p>
            <w:pPr>
              <w:spacing w:after="40"/>
              <w:shd w:val="clear" w:fill="E8F4FC"/>
            </w:pPr>
            <w:r/>
            <w:r>
              <w:rPr>
                <w:rFonts w:ascii="Calibri" w:hAnsi="Calibri"/>
                <w:b/>
                <w:color w:val="0069A4"/>
                <w:sz w:val="17"/>
              </w:rPr>
              <w:t>What it decides</w:t>
            </w:r>
          </w:p>
        </w:tc>
      </w:tr>
      <w:tr>
        <w:tc>
          <w:tcPr>
            <w:tcW w:type="dxa" w:w="3456"/>
          </w:tcPr>
          <w:p>
            <w:pPr>
              <w:spacing w:after="40"/>
            </w:pPr>
            <w:r/>
            <w:r>
              <w:rPr>
                <w:rFonts w:ascii="Calibri" w:hAnsi="Calibri"/>
                <w:color w:val="565656"/>
                <w:sz w:val="17"/>
              </w:rPr>
              <w:t>Are you an industrial establishment? Any systematic activity supplying goods OR SERVICES counts, profit or not: s.2(p) and 2(r)</w:t>
            </w:r>
          </w:p>
        </w:tc>
        <w:tc>
          <w:tcPr>
            <w:tcW w:type="dxa" w:w="1728"/>
          </w:tcPr>
          <w:p>
            <w:pPr>
              <w:spacing w:after="40"/>
            </w:pPr>
            <w:r/>
            <w:r>
              <w:rPr>
                <w:rFonts w:ascii="Calibri" w:hAnsi="Calibri"/>
                <w:color w:val="565656"/>
                <w:sz w:val="17"/>
              </w:rPr>
              <w:t>[YES / NO]</w:t>
            </w:r>
          </w:p>
        </w:tc>
        <w:tc>
          <w:tcPr>
            <w:tcW w:type="dxa" w:w="4176"/>
          </w:tcPr>
          <w:p>
            <w:pPr>
              <w:spacing w:after="40"/>
            </w:pPr>
            <w:r/>
            <w:r>
              <w:rPr>
                <w:rFonts w:ascii="Calibri" w:hAnsi="Calibri"/>
                <w:color w:val="565656"/>
                <w:sz w:val="17"/>
              </w:rPr>
              <w:t>Almost every private employer is. Out: wholly charitable bodies, sovereign functions, domestic service</w:t>
            </w:r>
          </w:p>
        </w:tc>
      </w:tr>
      <w:tr>
        <w:tc>
          <w:tcPr>
            <w:tcW w:type="dxa" w:w="3456"/>
          </w:tcPr>
          <w:p>
            <w:pPr>
              <w:spacing w:after="40"/>
            </w:pPr>
            <w:r/>
            <w:r>
              <w:rPr>
                <w:rFonts w:ascii="Calibri" w:hAnsi="Calibri"/>
                <w:color w:val="565656"/>
                <w:sz w:val="17"/>
              </w:rPr>
              <w:t>Workers employed TODAY</w:t>
            </w:r>
          </w:p>
        </w:tc>
        <w:tc>
          <w:tcPr>
            <w:tcW w:type="dxa" w:w="1728"/>
          </w:tcPr>
          <w:p>
            <w:pPr>
              <w:spacing w:after="40"/>
            </w:pPr>
            <w:r/>
            <w:r>
              <w:rPr>
                <w:rFonts w:ascii="Calibri" w:hAnsi="Calibri"/>
                <w:color w:val="565656"/>
                <w:sz w:val="17"/>
              </w:rPr>
              <w:t>[NUMBER]</w:t>
            </w:r>
          </w:p>
        </w:tc>
        <w:tc>
          <w:tcPr>
            <w:tcW w:type="dxa" w:w="4176"/>
          </w:tcPr>
          <w:p>
            <w:pPr>
              <w:spacing w:after="40"/>
            </w:pPr>
            <w:r/>
            <w:r>
              <w:rPr>
                <w:rFonts w:ascii="Calibri" w:hAnsi="Calibri"/>
                <w:color w:val="565656"/>
                <w:sz w:val="17"/>
              </w:rPr>
              <w:t>Three hundred or more puts you in under the first limb of s.28(1)</w:t>
            </w:r>
          </w:p>
        </w:tc>
      </w:tr>
      <w:tr>
        <w:tc>
          <w:tcPr>
            <w:tcW w:type="dxa" w:w="3456"/>
          </w:tcPr>
          <w:p>
            <w:pPr>
              <w:spacing w:after="40"/>
            </w:pPr>
            <w:r/>
            <w:r>
              <w:rPr>
                <w:rFonts w:ascii="Calibri" w:hAnsi="Calibri"/>
                <w:color w:val="565656"/>
                <w:sz w:val="17"/>
              </w:rPr>
              <w:t>Highest on ANY DAY in the last twelve months</w:t>
            </w:r>
          </w:p>
        </w:tc>
        <w:tc>
          <w:tcPr>
            <w:tcW w:type="dxa" w:w="1728"/>
          </w:tcPr>
          <w:p>
            <w:pPr>
              <w:spacing w:after="40"/>
            </w:pPr>
            <w:r/>
            <w:r>
              <w:rPr>
                <w:rFonts w:ascii="Calibri" w:hAnsi="Calibri"/>
                <w:color w:val="565656"/>
                <w:sz w:val="17"/>
              </w:rPr>
              <w:t>[NUMBER]</w:t>
            </w:r>
          </w:p>
        </w:tc>
        <w:tc>
          <w:tcPr>
            <w:tcW w:type="dxa" w:w="4176"/>
          </w:tcPr>
          <w:p>
            <w:pPr>
              <w:spacing w:after="40"/>
            </w:pPr>
            <w:r/>
            <w:r>
              <w:rPr>
                <w:rFonts w:ascii="Calibri" w:hAnsi="Calibri"/>
                <w:color w:val="565656"/>
                <w:sz w:val="17"/>
              </w:rPr>
              <w:t>Three hundred or more puts you in under the second limb, even if you are below it now</w:t>
            </w:r>
          </w:p>
        </w:tc>
      </w:tr>
      <w:tr>
        <w:tc>
          <w:tcPr>
            <w:tcW w:type="dxa" w:w="3456"/>
          </w:tcPr>
          <w:p>
            <w:pPr>
              <w:spacing w:after="40"/>
            </w:pPr>
            <w:r/>
            <w:r>
              <w:rPr>
                <w:rFonts w:ascii="Calibri" w:hAnsi="Calibri"/>
                <w:color w:val="565656"/>
                <w:sz w:val="17"/>
              </w:rPr>
              <w:t>Date of that peak</w:t>
            </w:r>
          </w:p>
        </w:tc>
        <w:tc>
          <w:tcPr>
            <w:tcW w:type="dxa" w:w="1728"/>
          </w:tcPr>
          <w:p>
            <w:pPr>
              <w:spacing w:after="40"/>
            </w:pPr>
            <w:r/>
            <w:r>
              <w:rPr>
                <w:rFonts w:ascii="Calibri" w:hAnsi="Calibri"/>
                <w:color w:val="565656"/>
                <w:sz w:val="17"/>
              </w:rPr>
              <w:t>[DD-MMM-YYYY]</w:t>
            </w:r>
          </w:p>
        </w:tc>
        <w:tc>
          <w:tcPr>
            <w:tcW w:type="dxa" w:w="4176"/>
          </w:tcPr>
          <w:p>
            <w:pPr>
              <w:spacing w:after="40"/>
            </w:pPr>
            <w:r/>
            <w:r>
              <w:rPr>
                <w:rFonts w:ascii="Calibri" w:hAnsi="Calibri"/>
                <w:color w:val="565656"/>
                <w:sz w:val="17"/>
              </w:rPr>
              <w:t>Keep it, because the lookback moves every day</w:t>
            </w:r>
          </w:p>
        </w:tc>
      </w:tr>
      <w:tr>
        <w:tc>
          <w:tcPr>
            <w:tcW w:type="dxa" w:w="3456"/>
          </w:tcPr>
          <w:p>
            <w:pPr>
              <w:spacing w:after="40"/>
            </w:pPr>
            <w:r/>
            <w:r>
              <w:rPr>
                <w:rFonts w:ascii="Calibri" w:hAnsi="Calibri"/>
                <w:color w:val="565656"/>
                <w:sz w:val="17"/>
              </w:rPr>
              <w:t>Are the workers governed by government service rules?</w:t>
            </w:r>
          </w:p>
        </w:tc>
        <w:tc>
          <w:tcPr>
            <w:tcW w:type="dxa" w:w="1728"/>
          </w:tcPr>
          <w:p>
            <w:pPr>
              <w:spacing w:after="40"/>
            </w:pPr>
            <w:r/>
            <w:r>
              <w:rPr>
                <w:rFonts w:ascii="Calibri" w:hAnsi="Calibri"/>
                <w:color w:val="565656"/>
                <w:sz w:val="17"/>
              </w:rPr>
              <w:t>[YES / NO]</w:t>
            </w:r>
          </w:p>
        </w:tc>
        <w:tc>
          <w:tcPr>
            <w:tcW w:type="dxa" w:w="4176"/>
          </w:tcPr>
          <w:p>
            <w:pPr>
              <w:spacing w:after="40"/>
            </w:pPr>
            <w:r/>
            <w:r>
              <w:rPr>
                <w:rFonts w:ascii="Calibri" w:hAnsi="Calibri"/>
                <w:color w:val="565656"/>
                <w:sz w:val="17"/>
              </w:rPr>
              <w:t>YES takes you out under s.28(2)</w:t>
            </w:r>
          </w:p>
        </w:tc>
      </w:tr>
      <w:tr>
        <w:tc>
          <w:tcPr>
            <w:tcW w:type="dxa" w:w="3456"/>
          </w:tcPr>
          <w:p>
            <w:pPr>
              <w:spacing w:after="40"/>
            </w:pPr>
            <w:r/>
            <w:r>
              <w:rPr>
                <w:rFonts w:ascii="Calibri" w:hAnsi="Calibri"/>
                <w:color w:val="565656"/>
                <w:sz w:val="17"/>
              </w:rPr>
              <w:t>Is there an exemption notification for your class?</w:t>
            </w:r>
          </w:p>
        </w:tc>
        <w:tc>
          <w:tcPr>
            <w:tcW w:type="dxa" w:w="1728"/>
          </w:tcPr>
          <w:p>
            <w:pPr>
              <w:spacing w:after="40"/>
            </w:pPr>
            <w:r/>
            <w:r>
              <w:rPr>
                <w:rFonts w:ascii="Calibri" w:hAnsi="Calibri"/>
                <w:color w:val="565656"/>
                <w:sz w:val="17"/>
              </w:rPr>
              <w:t>[YES / NO]</w:t>
            </w:r>
          </w:p>
        </w:tc>
        <w:tc>
          <w:tcPr>
            <w:tcW w:type="dxa" w:w="4176"/>
          </w:tcPr>
          <w:p>
            <w:pPr>
              <w:spacing w:after="40"/>
            </w:pPr>
            <w:r/>
            <w:r>
              <w:rPr>
                <w:rFonts w:ascii="Calibri" w:hAnsi="Calibri"/>
                <w:color w:val="565656"/>
                <w:sz w:val="17"/>
              </w:rPr>
              <w:t>s.39 lets the appropriate Government exempt you</w:t>
            </w:r>
          </w:p>
        </w:tc>
      </w:tr>
      <w:tr>
        <w:tc>
          <w:tcPr>
            <w:tcW w:type="dxa" w:w="3456"/>
          </w:tcPr>
          <w:p>
            <w:pPr>
              <w:spacing w:after="40"/>
            </w:pPr>
            <w:r/>
            <w:r>
              <w:rPr>
                <w:rFonts w:ascii="Calibri" w:hAnsi="Calibri"/>
                <w:color w:val="565656"/>
                <w:sz w:val="17"/>
              </w:rPr>
              <w:t>Did you have standing orders before 21-Nov-2025?</w:t>
            </w:r>
          </w:p>
        </w:tc>
        <w:tc>
          <w:tcPr>
            <w:tcW w:type="dxa" w:w="1728"/>
          </w:tcPr>
          <w:p>
            <w:pPr>
              <w:spacing w:after="40"/>
            </w:pPr>
            <w:r/>
            <w:r>
              <w:rPr>
                <w:rFonts w:ascii="Calibri" w:hAnsi="Calibri"/>
                <w:color w:val="565656"/>
                <w:sz w:val="17"/>
              </w:rPr>
              <w:t>[YES / NO]</w:t>
            </w:r>
          </w:p>
        </w:tc>
        <w:tc>
          <w:tcPr>
            <w:tcW w:type="dxa" w:w="4176"/>
          </w:tcPr>
          <w:p>
            <w:pPr>
              <w:spacing w:after="40"/>
            </w:pPr>
            <w:r/>
            <w:r>
              <w:rPr>
                <w:rFonts w:ascii="Calibri" w:hAnsi="Calibri"/>
                <w:color w:val="565656"/>
                <w:sz w:val="17"/>
              </w:rPr>
              <w:t>YES means s.30(11) continues them, subject to an inconsistency check against this Code</w:t>
            </w:r>
          </w:p>
        </w:tc>
      </w:tr>
      <w:tr>
        <w:tc>
          <w:tcPr>
            <w:tcW w:type="dxa" w:w="3456"/>
          </w:tcPr>
          <w:p>
            <w:pPr>
              <w:spacing w:after="40"/>
            </w:pPr>
            <w:r/>
            <w:r>
              <w:rPr>
                <w:rFonts w:ascii="Calibri" w:hAnsi="Calibri"/>
                <w:color w:val="565656"/>
                <w:sz w:val="17"/>
              </w:rPr>
              <w:t>Your route</w:t>
            </w:r>
          </w:p>
        </w:tc>
        <w:tc>
          <w:tcPr>
            <w:tcW w:type="dxa" w:w="1728"/>
          </w:tcPr>
          <w:p>
            <w:pPr>
              <w:spacing w:after="40"/>
            </w:pPr>
            <w:r/>
            <w:r>
              <w:rPr>
                <w:rFonts w:ascii="Calibri" w:hAnsi="Calibri"/>
                <w:color w:val="565656"/>
                <w:sz w:val="17"/>
              </w:rPr>
              <w:t>[FORMAT 03 / FORMAT 02 / EXISTING]</w:t>
            </w:r>
          </w:p>
        </w:tc>
        <w:tc>
          <w:tcPr>
            <w:tcW w:type="dxa" w:w="4176"/>
          </w:tcPr>
          <w:p>
            <w:pPr>
              <w:spacing w:after="40"/>
            </w:pPr>
            <w:r/>
            <w:r>
              <w:rPr>
                <w:rFonts w:ascii="Calibri" w:hAnsi="Calibri"/>
                <w:color w:val="565656"/>
                <w:sz w:val="17"/>
              </w:rPr>
              <w:t>Adopt the model, draft your own, or continue what you had</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color w:val="565656"/>
          <w:sz w:val="19"/>
        </w:rPr>
        <w:t>Re-run this every year. The twelve-month lookback in s.28(1) means the answer can change without your headcount changing at all.</w:t>
      </w:r>
    </w:p>
    <w:p>
      <w:r>
        <w:br w:type="page"/>
      </w:r>
    </w:p>
    <w:p>
      <w:pPr>
        <w:pStyle w:val="Heading1"/>
        <w:keepNext/>
        <w:spacing w:after="200" w:before="80"/>
        <w:ind w:left="115"/>
        <w:shd w:val="clear" w:fill="0069A4"/>
      </w:pPr>
      <w:r>
        <w:rPr>
          <w:rFonts w:ascii="Calibri" w:hAnsi="Calibri"/>
          <w:b/>
          <w:color w:val="FFFFFF"/>
          <w:sz w:val="20"/>
        </w:rPr>
        <w:t>FORMAT 02  ·  STANDING ORDERS, DRAFTED ON THE MODEL</w:t>
      </w:r>
    </w:p>
    <w:p>
      <w:pPr>
        <w:keepNext w:val="0"/>
        <w:spacing w:after="160" w:before="0"/>
        <w:ind w:left="144"/>
        <w:shd w:val="clear" w:fill="F4FAFE"/>
      </w:pPr>
      <w:r>
        <w:rPr>
          <w:rFonts w:ascii="Calibri" w:hAnsi="Calibri"/>
          <w:b w:val="0"/>
          <w:i/>
          <w:color w:val="565656"/>
          <w:sz w:val="18"/>
        </w:rPr>
        <w:t>All eleven First Schedule matters in the Schedule's own order, each marked with the item it answers.</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40" w:before="0"/>
      </w:pPr>
      <w:r>
        <w:rPr>
          <w:rFonts w:ascii="Calibri" w:hAnsi="Calibri"/>
          <w:b/>
          <w:i w:val="0"/>
          <w:color w:val="1D1D1D"/>
          <w:sz w:val="26"/>
        </w:rPr>
        <w:t>STANDING ORDERS OF [COMPANY NAME]</w:t>
      </w:r>
    </w:p>
    <w:p>
      <w:pPr>
        <w:keepNext w:val="0"/>
        <w:spacing w:after="200" w:before="0"/>
      </w:pPr>
      <w:r>
        <w:rPr>
          <w:rFonts w:ascii="Calibri" w:hAnsi="Calibri"/>
          <w:b w:val="0"/>
          <w:i w:val="0"/>
          <w:color w:val="565656"/>
          <w:sz w:val="19"/>
        </w:rPr>
        <w:t>[ESTABLISHMENT AND ADDRESS]  ·  Draft dated [DD-MMM-YYYY]  ·  Under Chapter IV of the Industrial Relations Code, 2020</w:t>
      </w:r>
    </w:p>
    <w:p>
      <w:pPr>
        <w:keepNext w:val="0"/>
        <w:spacing w:after="80" w:before="0"/>
      </w:pPr>
      <w:r>
        <w:rPr>
          <w:rFonts w:ascii="Calibri" w:hAnsi="Calibri"/>
          <w:b/>
          <w:i w:val="0"/>
          <w:color w:val="1D1D1D"/>
          <w:sz w:val="22"/>
        </w:rPr>
        <w:t>Preliminary</w:t>
      </w:r>
    </w:p>
    <w:p>
      <w:pPr>
        <w:keepNext w:val="0"/>
        <w:spacing w:after="160" w:before="0"/>
      </w:pPr>
      <w:r>
        <w:rPr>
          <w:rFonts w:ascii="Calibri" w:hAnsi="Calibri"/>
          <w:b w:val="0"/>
          <w:i w:val="0"/>
          <w:color w:val="1D1D1D"/>
          <w:sz w:val="20"/>
        </w:rPr>
        <w:t>These standing orders are made under section 30 of the Industrial Relations Code, 2020 and are based on the Model Standing Orders, 2026 notified by S.O. 2312(E). They apply to every worker of [COMPANY NAME] at [ESTABLISHMENT], which employs [NUMBER] workers. Where these orders are silent, the Model Standing Orders apply.</w:t>
      </w:r>
    </w:p>
    <w:p>
      <w:pPr>
        <w:keepNext w:val="0"/>
        <w:spacing w:after="60" w:before="0"/>
      </w:pPr>
      <w:r>
        <w:rPr>
          <w:rFonts w:ascii="Calibri" w:hAnsi="Calibri"/>
          <w:b/>
          <w:i w:val="0"/>
          <w:color w:val="1D1D1D"/>
          <w:sz w:val="22"/>
        </w:rPr>
        <w:t>1.  Classification of workers</w:t>
      </w:r>
    </w:p>
    <w:p>
      <w:pPr>
        <w:keepNext w:val="0"/>
        <w:spacing w:after="60" w:before="0"/>
      </w:pPr>
      <w:r>
        <w:rPr>
          <w:rFonts w:ascii="Calibri" w:hAnsi="Calibri"/>
          <w:b w:val="0"/>
          <w:i/>
          <w:color w:val="565656"/>
          <w:sz w:val="18"/>
        </w:rPr>
        <w:t>First Schedule, item 1: Whether permanent, temporary, apprentices, probationers, badlis or fixed term employment.</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2.  How periods and hours are intimated</w:t>
      </w:r>
    </w:p>
    <w:p>
      <w:pPr>
        <w:keepNext w:val="0"/>
        <w:spacing w:after="60" w:before="0"/>
      </w:pPr>
      <w:r>
        <w:rPr>
          <w:rFonts w:ascii="Calibri" w:hAnsi="Calibri"/>
          <w:b w:val="0"/>
          <w:i/>
          <w:color w:val="565656"/>
          <w:sz w:val="18"/>
        </w:rPr>
        <w:t>First Schedule, item 2: Manner of intimating to workers periods and hours of work, holidays, pay-days and wage rates.</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3.  Shift working</w:t>
      </w:r>
    </w:p>
    <w:p>
      <w:pPr>
        <w:keepNext w:val="0"/>
        <w:spacing w:after="60" w:before="0"/>
      </w:pPr>
      <w:r>
        <w:rPr>
          <w:rFonts w:ascii="Calibri" w:hAnsi="Calibri"/>
          <w:b w:val="0"/>
          <w:i/>
          <w:color w:val="565656"/>
          <w:sz w:val="18"/>
        </w:rPr>
        <w:t>First Schedule, item 3: Shift working.</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4.  Attendance and late coming</w:t>
      </w:r>
    </w:p>
    <w:p>
      <w:pPr>
        <w:keepNext w:val="0"/>
        <w:spacing w:after="60" w:before="0"/>
      </w:pPr>
      <w:r>
        <w:rPr>
          <w:rFonts w:ascii="Calibri" w:hAnsi="Calibri"/>
          <w:b w:val="0"/>
          <w:i/>
          <w:color w:val="565656"/>
          <w:sz w:val="18"/>
        </w:rPr>
        <w:t>First Schedule, item 4: Attendance and late coming.</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5.  Leave and holidays</w:t>
      </w:r>
    </w:p>
    <w:p>
      <w:pPr>
        <w:keepNext w:val="0"/>
        <w:spacing w:after="60" w:before="0"/>
      </w:pPr>
      <w:r>
        <w:rPr>
          <w:rFonts w:ascii="Calibri" w:hAnsi="Calibri"/>
          <w:b w:val="0"/>
          <w:i/>
          <w:color w:val="565656"/>
          <w:sz w:val="18"/>
        </w:rPr>
        <w:t>First Schedule, item 5: Conditions of, procedure in applying for, and the authority which may grant leave and holidays.</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6.  Entry and search</w:t>
      </w:r>
    </w:p>
    <w:p>
      <w:pPr>
        <w:keepNext w:val="0"/>
        <w:spacing w:after="60" w:before="0"/>
      </w:pPr>
      <w:r>
        <w:rPr>
          <w:rFonts w:ascii="Calibri" w:hAnsi="Calibri"/>
          <w:b w:val="0"/>
          <w:i/>
          <w:color w:val="565656"/>
          <w:sz w:val="18"/>
        </w:rPr>
        <w:t>First Schedule, item 6: Requirement to enter premises by certain gates, and liability to search.</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7.  Closing, stoppages and what follows</w:t>
      </w:r>
    </w:p>
    <w:p>
      <w:pPr>
        <w:keepNext w:val="0"/>
        <w:spacing w:after="60" w:before="0"/>
      </w:pPr>
      <w:r>
        <w:rPr>
          <w:rFonts w:ascii="Calibri" w:hAnsi="Calibri"/>
          <w:b w:val="0"/>
          <w:i/>
          <w:color w:val="565656"/>
          <w:sz w:val="18"/>
        </w:rPr>
        <w:t>First Schedule, item 7: Closing and reporting of sections of the industrial establishment, temporary stoppages of work and the rights and liabilities of the employer and workers arising therefrom.</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8.  Termination and notice</w:t>
      </w:r>
    </w:p>
    <w:p>
      <w:pPr>
        <w:keepNext w:val="0"/>
        <w:spacing w:after="60" w:before="0"/>
      </w:pPr>
      <w:r>
        <w:rPr>
          <w:rFonts w:ascii="Calibri" w:hAnsi="Calibri"/>
          <w:b w:val="0"/>
          <w:i/>
          <w:color w:val="565656"/>
          <w:sz w:val="18"/>
        </w:rPr>
        <w:t>First Schedule, item 8: Termination of employment, and the notice thereof to be given by employer and workers.</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9.  Misconduct, suspension and dismissal</w:t>
      </w:r>
    </w:p>
    <w:p>
      <w:pPr>
        <w:keepNext w:val="0"/>
        <w:spacing w:after="60" w:before="0"/>
      </w:pPr>
      <w:r>
        <w:rPr>
          <w:rFonts w:ascii="Calibri" w:hAnsi="Calibri"/>
          <w:b w:val="0"/>
          <w:i/>
          <w:color w:val="565656"/>
          <w:sz w:val="18"/>
        </w:rPr>
        <w:t>First Schedule, item 9: Suspension or dismissal for misconduct, and acts or omissions which constitute misconduct.</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10.  Redress against unfair treatment</w:t>
      </w:r>
    </w:p>
    <w:p>
      <w:pPr>
        <w:keepNext w:val="0"/>
        <w:spacing w:after="60" w:before="0"/>
      </w:pPr>
      <w:r>
        <w:rPr>
          <w:rFonts w:ascii="Calibri" w:hAnsi="Calibri"/>
          <w:b w:val="0"/>
          <w:i/>
          <w:color w:val="565656"/>
          <w:sz w:val="18"/>
        </w:rPr>
        <w:t>First Schedule, item 10: Means of redress for workers against unfair treatment or wrongful exactions by the employer or his agents or servants.</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11.  Anything else the Government notifies</w:t>
      </w:r>
    </w:p>
    <w:p>
      <w:pPr>
        <w:keepNext w:val="0"/>
        <w:spacing w:after="60" w:before="0"/>
      </w:pPr>
      <w:r>
        <w:rPr>
          <w:rFonts w:ascii="Calibri" w:hAnsi="Calibri"/>
          <w:b w:val="0"/>
          <w:i/>
          <w:color w:val="565656"/>
          <w:sz w:val="18"/>
        </w:rPr>
        <w:t>First Schedule, item 11: Any other matter which may be specified by the appropriate Government by notification.</w:t>
      </w:r>
    </w:p>
    <w:p>
      <w:pPr>
        <w:keepNext w:val="0"/>
        <w:spacing w:after="160" w:before="0"/>
      </w:pPr>
      <w:r>
        <w:rPr>
          <w:rFonts w:ascii="Calibri" w:hAnsi="Calibri"/>
          <w:b w:val="0"/>
          <w:i w:val="0"/>
          <w:color w:val="1D1D1D"/>
          <w:sz w:val="20"/>
        </w:rPr>
        <w:t>[SET OUT WHAT APPLIES IN YOUR ESTABLISHMENT. Replace this line. Section 30(6)(a) makes the orders certifiable only if provision is made for every applicable item, so an item left at this placeholder is an item not provided for.]</w:t>
      </w:r>
    </w:p>
    <w:p>
      <w:pPr>
        <w:keepNext w:val="0"/>
        <w:spacing w:after="60" w:before="0"/>
      </w:pPr>
      <w:r>
        <w:rPr>
          <w:rFonts w:ascii="Calibri" w:hAnsi="Calibri"/>
          <w:b/>
          <w:i w:val="0"/>
          <w:color w:val="1D1D1D"/>
          <w:sz w:val="22"/>
        </w:rPr>
        <w:t>12.  Subsistence allowance during suspension</w:t>
      </w:r>
    </w:p>
    <w:p>
      <w:pPr>
        <w:keepNext w:val="0"/>
        <w:spacing w:after="80" w:before="0"/>
      </w:pPr>
      <w:r>
        <w:rPr>
          <w:rFonts w:ascii="Calibri" w:hAnsi="Calibri"/>
          <w:b w:val="0"/>
          <w:i w:val="0"/>
          <w:color w:val="1D1D1D"/>
          <w:sz w:val="20"/>
        </w:rPr>
        <w:t>Where a worker is suspended pending investigation or inquiry into complaints or charges of misconduct, [COMPANY NAME] shall pay subsistence allowance at fifty per cent of the wages the worker was entitled to immediately preceding the date of suspension for the first ninety days, and at seventy-five per cent thereafter where the delay in completing the proceedings is not directly attributable to the worker. The investigation or inquiry shall ordinarily be completed within ninety days of the suspension.</w:t>
      </w:r>
    </w:p>
    <w:p>
      <w:pPr>
        <w:keepNext w:val="0"/>
        <w:spacing w:after="200" w:before="0"/>
      </w:pPr>
      <w:r>
        <w:rPr>
          <w:rFonts w:ascii="Calibri" w:hAnsi="Calibri"/>
          <w:b w:val="0"/>
          <w:i/>
          <w:color w:val="0069A4"/>
          <w:sz w:val="17"/>
        </w:rPr>
        <w:t>Required by section 38(2) and (3), and section 38(1) for the ninety days.</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03  ·  LETTER ADOPTING THE MODEL STANDING ORDERS</w:t>
      </w:r>
    </w:p>
    <w:p>
      <w:pPr>
        <w:keepNext w:val="0"/>
        <w:spacing w:after="160" w:before="0"/>
        <w:ind w:left="144"/>
        <w:shd w:val="clear" w:fill="F4FAFE"/>
      </w:pPr>
      <w:r>
        <w:rPr>
          <w:rFonts w:ascii="Calibri" w:hAnsi="Calibri"/>
          <w:b w:val="0"/>
          <w:i/>
          <w:color w:val="565656"/>
          <w:sz w:val="18"/>
        </w:rPr>
        <w:t>The section 30(3) route: adopt, inform the certifying officer, and the orders are deemed certified.</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40" w:before="0"/>
      </w:pPr>
      <w:r>
        <w:rPr>
          <w:rFonts w:ascii="Calibri" w:hAnsi="Calibri"/>
          <w:b w:val="0"/>
          <w:i w:val="0"/>
          <w:color w:val="1D1D1D"/>
          <w:sz w:val="20"/>
        </w:rPr>
        <w:t>To</w:t>
      </w:r>
    </w:p>
    <w:p>
      <w:pPr>
        <w:keepNext w:val="0"/>
        <w:spacing w:after="40" w:before="0"/>
      </w:pPr>
      <w:r>
        <w:rPr>
          <w:rFonts w:ascii="Calibri" w:hAnsi="Calibri"/>
          <w:b/>
          <w:i w:val="0"/>
          <w:color w:val="1D1D1D"/>
          <w:sz w:val="20"/>
        </w:rPr>
        <w:t>The Certifying Officer</w:t>
      </w:r>
    </w:p>
    <w:p>
      <w:pPr>
        <w:keepNext w:val="0"/>
        <w:spacing w:after="200" w:before="0"/>
      </w:pPr>
      <w:r>
        <w:rPr>
          <w:rFonts w:ascii="Calibri" w:hAnsi="Calibri"/>
          <w:b w:val="0"/>
          <w:i w:val="0"/>
          <w:color w:val="565656"/>
          <w:sz w:val="20"/>
        </w:rPr>
        <w:t>[DESIGNATION AND ADDRESS]</w:t>
      </w:r>
    </w:p>
    <w:p>
      <w:pPr>
        <w:keepNext w:val="0"/>
        <w:spacing w:after="200" w:before="0"/>
      </w:pPr>
      <w:r>
        <w:rPr>
          <w:rFonts w:ascii="Calibri" w:hAnsi="Calibri"/>
          <w:b/>
          <w:i w:val="0"/>
          <w:color w:val="1D1D1D"/>
          <w:sz w:val="20"/>
        </w:rPr>
        <w:t>Subject: Adoption of the Model Standing Orders under section 30(3) of the Industrial Relations Code, 2020</w:t>
      </w:r>
    </w:p>
    <w:p>
      <w:pPr>
        <w:keepNext w:val="0"/>
        <w:spacing w:after="120" w:before="0"/>
      </w:pPr>
      <w:r>
        <w:rPr>
          <w:rFonts w:ascii="Calibri" w:hAnsi="Calibri"/>
          <w:b w:val="0"/>
          <w:i w:val="0"/>
          <w:color w:val="1D1D1D"/>
          <w:sz w:val="20"/>
        </w:rPr>
        <w:t>Madam / Sir,</w:t>
      </w:r>
    </w:p>
    <w:p>
      <w:pPr>
        <w:keepNext w:val="0"/>
        <w:spacing w:after="120" w:before="0"/>
      </w:pPr>
      <w:r>
        <w:rPr>
          <w:rFonts w:ascii="Calibri" w:hAnsi="Calibri"/>
          <w:b w:val="0"/>
          <w:i w:val="0"/>
          <w:color w:val="1D1D1D"/>
          <w:sz w:val="20"/>
        </w:rPr>
        <w:t>[COMPANY NAME] is an industrial establishment at [ADDRESS]. [NUMBER] workers are employed, and the highest number employed on any day of the preceding twelve months was [NUMBER] on [DD-MMM-YYYY], so Chapter IV applies under section 28(1).</w:t>
      </w:r>
    </w:p>
    <w:p>
      <w:pPr>
        <w:keepNext w:val="0"/>
        <w:spacing w:after="120" w:before="0"/>
      </w:pPr>
      <w:r>
        <w:rPr>
          <w:rFonts w:ascii="Calibri" w:hAnsi="Calibri"/>
          <w:b w:val="0"/>
          <w:i w:val="0"/>
          <w:color w:val="1D1D1D"/>
          <w:sz w:val="20"/>
        </w:rPr>
        <w:t>[COMPANY NAME] has adopted the Model Standing Orders of the Central Government, notified by S.O. 2312(E), with respect to the matters relevant to this establishment. This establishment is in the [MINE / MANUFACTURING / SERVICE] sector.</w:t>
      </w:r>
    </w:p>
    <w:p>
      <w:pPr>
        <w:keepNext w:val="0"/>
        <w:spacing w:after="120" w:before="0"/>
      </w:pPr>
      <w:r>
        <w:rPr>
          <w:rFonts w:ascii="Calibri" w:hAnsi="Calibri"/>
          <w:b w:val="0"/>
          <w:i w:val="0"/>
          <w:color w:val="1D1D1D"/>
          <w:sz w:val="20"/>
        </w:rPr>
        <w:t>THE SPECIFIC DATE FROM WHICH THE MODEL STANDING ORDERS HAVE BEEN ADOPTED IS [DD-MMM-YYYY]. Rule 10(1) of the Industrial Relations (Central) Rules, 2026 requires that date to be stated, and under rule 10(6) the provisions come into force from it.</w:t>
      </w:r>
    </w:p>
    <w:p>
      <w:pPr>
        <w:keepNext w:val="0"/>
        <w:spacing w:after="120" w:before="0"/>
      </w:pPr>
      <w:r>
        <w:rPr>
          <w:rFonts w:ascii="Calibri" w:hAnsi="Calibri"/>
          <w:b w:val="0"/>
          <w:i w:val="0"/>
          <w:color w:val="1D1D1D"/>
          <w:sz w:val="20"/>
        </w:rPr>
        <w:t>Under rule 10(2) the adopted Model Standing Orders apply to this industrial establishment and to all its units, which are [LIST UNITS AND ADDRESSES].</w:t>
      </w:r>
    </w:p>
    <w:p>
      <w:pPr>
        <w:keepNext w:val="0"/>
        <w:spacing w:after="120" w:before="0"/>
      </w:pPr>
      <w:r>
        <w:rPr>
          <w:rFonts w:ascii="Calibri" w:hAnsi="Calibri"/>
          <w:b w:val="0"/>
          <w:i w:val="0"/>
          <w:color w:val="1D1D1D"/>
          <w:sz w:val="20"/>
        </w:rPr>
        <w:t>Under section 30(3) of the Code those model standing orders are deemed to have been certified, and this letter forwards the information as the section and rule 10(1) require.</w:t>
      </w:r>
    </w:p>
    <w:p>
      <w:pPr>
        <w:keepNext w:val="0"/>
        <w:spacing w:after="120" w:before="0"/>
      </w:pPr>
      <w:r>
        <w:rPr>
          <w:rFonts w:ascii="Calibri" w:hAnsi="Calibri"/>
          <w:b w:val="0"/>
          <w:i w:val="0"/>
          <w:color w:val="1D1D1D"/>
          <w:sz w:val="20"/>
        </w:rPr>
        <w:t>We note that under rule 10(5), if no observation is made within thirty days of your receipt of this information, the Model Standing Orders are deemed to have been certified. Should you observe under rule 10(4) that this establishment carries on activities the adopted orders do not cover, we will include the provisions you indicate within thirty days of your direction and send you a compliance report on those provisions.</w:t>
      </w:r>
    </w:p>
    <w:p>
      <w:pPr>
        <w:keepNext w:val="0"/>
        <w:spacing w:after="120" w:before="0"/>
      </w:pPr>
      <w:r>
        <w:rPr>
          <w:rFonts w:ascii="Calibri" w:hAnsi="Calibri"/>
          <w:b w:val="0"/>
          <w:i w:val="0"/>
          <w:color w:val="1D1D1D"/>
          <w:sz w:val="20"/>
        </w:rPr>
        <w:t>The text is maintained in Hindi, English and [LOCAL LANGUAGE] and displayed on the board at the entrance used by the majority of our workers, as rule 16(2) and (3) require.</w:t>
      </w:r>
    </w:p>
    <w:p>
      <w:pPr>
        <w:keepNext w:val="0"/>
        <w:spacing w:after="120" w:before="0"/>
      </w:pPr>
      <w:r>
        <w:rPr>
          <w:rFonts w:ascii="Calibri" w:hAnsi="Calibri"/>
          <w:b w:val="0"/>
          <w:i/>
          <w:color w:val="565656"/>
          <w:sz w:val="18"/>
        </w:rPr>
        <w:t>Send it electronically, in person or by speed post, which are the three routes rule 10(1) allows, and keep proof. Adoption is the shortest road in Chapter IV: rule 12's proviso means there is no authentication step at all, and the only evidence you took it is this letter, the date in it and the acknowledgement.</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04  ·  COVERING LETTER FORWARDING THE DRAFT FOR CERTIFICATION</w:t>
      </w:r>
    </w:p>
    <w:p>
      <w:pPr>
        <w:keepNext w:val="0"/>
        <w:spacing w:after="160" w:before="0"/>
        <w:ind w:left="144"/>
        <w:shd w:val="clear" w:fill="F4FAFE"/>
      </w:pPr>
      <w:r>
        <w:rPr>
          <w:rFonts w:ascii="Calibri" w:hAnsi="Calibri"/>
          <w:b w:val="0"/>
          <w:i/>
          <w:color w:val="565656"/>
          <w:sz w:val="18"/>
        </w:rPr>
        <w:t>With the section 30(9) statement of particulars attached.</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40" w:before="0"/>
      </w:pPr>
      <w:r>
        <w:rPr>
          <w:rFonts w:ascii="Calibri" w:hAnsi="Calibri"/>
          <w:b w:val="0"/>
          <w:i w:val="0"/>
          <w:color w:val="1D1D1D"/>
          <w:sz w:val="20"/>
        </w:rPr>
        <w:t>To</w:t>
      </w:r>
    </w:p>
    <w:p>
      <w:pPr>
        <w:keepNext w:val="0"/>
        <w:spacing w:after="40" w:before="0"/>
      </w:pPr>
      <w:r>
        <w:rPr>
          <w:rFonts w:ascii="Calibri" w:hAnsi="Calibri"/>
          <w:b/>
          <w:i w:val="0"/>
          <w:color w:val="1D1D1D"/>
          <w:sz w:val="20"/>
        </w:rPr>
        <w:t>The Certifying Officer</w:t>
      </w:r>
    </w:p>
    <w:p>
      <w:pPr>
        <w:keepNext w:val="0"/>
        <w:spacing w:after="200" w:before="0"/>
      </w:pPr>
      <w:r>
        <w:rPr>
          <w:rFonts w:ascii="Calibri" w:hAnsi="Calibri"/>
          <w:b w:val="0"/>
          <w:i w:val="0"/>
          <w:color w:val="565656"/>
          <w:sz w:val="20"/>
        </w:rPr>
        <w:t>[DESIGNATION AND ADDRESS]</w:t>
      </w:r>
    </w:p>
    <w:p>
      <w:pPr>
        <w:keepNext w:val="0"/>
        <w:spacing w:after="200" w:before="0"/>
      </w:pPr>
      <w:r>
        <w:rPr>
          <w:rFonts w:ascii="Calibri" w:hAnsi="Calibri"/>
          <w:b/>
          <w:i w:val="0"/>
          <w:color w:val="1D1D1D"/>
          <w:sz w:val="20"/>
        </w:rPr>
        <w:t>Subject: Draft standing orders forwarded for certification under section 30(2) of the Industrial Relations Code, 2020</w:t>
      </w:r>
    </w:p>
    <w:p>
      <w:pPr>
        <w:keepNext w:val="0"/>
        <w:spacing w:after="120" w:before="0"/>
      </w:pPr>
      <w:r>
        <w:rPr>
          <w:rFonts w:ascii="Calibri" w:hAnsi="Calibri"/>
          <w:b w:val="0"/>
          <w:i w:val="0"/>
          <w:color w:val="1D1D1D"/>
          <w:sz w:val="20"/>
        </w:rPr>
        <w:t>Madam / Sir,</w:t>
      </w:r>
    </w:p>
    <w:p>
      <w:pPr>
        <w:keepNext w:val="0"/>
        <w:spacing w:after="120" w:before="0"/>
      </w:pPr>
      <w:r>
        <w:rPr>
          <w:rFonts w:ascii="Calibri" w:hAnsi="Calibri"/>
          <w:b w:val="0"/>
          <w:i w:val="0"/>
          <w:color w:val="1D1D1D"/>
          <w:sz w:val="20"/>
        </w:rPr>
        <w:t>[COMPANY NAME] forwards herewith the draft standing orders for its establishment at [ADDRESS], prepared under section 30(1) and based on the Model Standing Orders, 2026.</w:t>
      </w:r>
    </w:p>
    <w:p>
      <w:pPr>
        <w:keepNext w:val="0"/>
        <w:spacing w:after="120" w:before="0"/>
      </w:pPr>
      <w:r>
        <w:rPr>
          <w:rFonts w:ascii="Calibri" w:hAnsi="Calibri"/>
          <w:b w:val="0"/>
          <w:i w:val="0"/>
          <w:color w:val="1D1D1D"/>
          <w:sz w:val="20"/>
        </w:rPr>
        <w:t>The draft provides for every matter set out in the First Schedule that applies to this establishment, as section 30(6)(a) requires.</w:t>
      </w:r>
    </w:p>
    <w:p>
      <w:pPr>
        <w:keepNext w:val="0"/>
        <w:spacing w:after="120" w:before="0"/>
      </w:pPr>
      <w:r>
        <w:rPr>
          <w:rFonts w:ascii="Calibri" w:hAnsi="Calibri"/>
          <w:b w:val="0"/>
          <w:i w:val="0"/>
          <w:color w:val="1D1D1D"/>
          <w:sz w:val="20"/>
        </w:rPr>
        <w:t>The Trade Unions / the recognised negotiating union / the members of the negotiating council were consulted on [DD-MMM-YYYY], and the record of that consultation is at Annexure B.</w:t>
      </w:r>
    </w:p>
    <w:p>
      <w:pPr>
        <w:keepNext w:val="0"/>
        <w:spacing w:after="120" w:before="0"/>
      </w:pPr>
      <w:r>
        <w:rPr>
          <w:rFonts w:ascii="Calibri" w:hAnsi="Calibri"/>
          <w:b w:val="0"/>
          <w:i w:val="0"/>
          <w:color w:val="1D1D1D"/>
          <w:sz w:val="20"/>
        </w:rPr>
        <w:t>The statement of particulars required by section 30(9) is at Annexure A.</w:t>
      </w:r>
    </w:p>
    <w:p>
      <w:pPr>
        <w:keepNext w:val="0"/>
        <w:spacing w:after="120" w:before="0"/>
      </w:pPr>
      <w:r>
        <w:rPr>
          <w:rFonts w:ascii="Calibri" w:hAnsi="Calibri"/>
          <w:b w:val="0"/>
          <w:i w:val="0"/>
          <w:color w:val="1D1D1D"/>
          <w:sz w:val="20"/>
        </w:rPr>
        <w:t>We note that under the proviso to section 30(5) the procedure for certification is to be completed within sixty days of receipt of this draft.</w:t>
      </w:r>
    </w:p>
    <w:p>
      <w:pPr>
        <w:keepNext w:val="0"/>
        <w:spacing w:after="160" w:before="0"/>
      </w:pPr>
      <w:r>
        <w:rPr>
          <w:rFonts w:ascii="Calibri" w:hAnsi="Calibri"/>
          <w:b w:val="0"/>
          <w:i w:val="0"/>
          <w:color w:val="1D1D1D"/>
          <w:sz w:val="20"/>
        </w:rPr>
        <w:t>Enclosures: Annexure A, statement of particulars. Annexure B, record of consultation. Draft standing orders, [NUMBER] pages.</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05  ·  STATEMENT OF PARTICULARS OF WORKERS</w:t>
      </w:r>
    </w:p>
    <w:p>
      <w:pPr>
        <w:keepNext w:val="0"/>
        <w:spacing w:after="160" w:before="0"/>
        <w:ind w:left="144"/>
        <w:shd w:val="clear" w:fill="F4FAFE"/>
      </w:pPr>
      <w:r>
        <w:rPr>
          <w:rFonts w:ascii="Calibri" w:hAnsi="Calibri"/>
          <w:b w:val="0"/>
          <w:i/>
          <w:color w:val="565656"/>
          <w:sz w:val="18"/>
        </w:rPr>
        <w:t>Section 30(9) requires the draft to be accompanied by particulars of the workers, their Trade Union, and the negotiating union or council.</w:t>
      </w:r>
    </w:p>
    <w:p>
      <w:pPr>
        <w:keepNext w:val="0"/>
        <w:spacing w:after="40" w:before="0"/>
      </w:pPr>
      <w:r>
        <w:rPr>
          <w:rFonts w:ascii="Calibri" w:hAnsi="Calibri"/>
          <w:b/>
          <w:i w:val="0"/>
          <w:color w:val="1D1D1D"/>
          <w:sz w:val="26"/>
        </w:rPr>
        <w:t>ANNEXURE A  ·  STATEMENT OF PARTICULARS</w:t>
      </w:r>
    </w:p>
    <w:p>
      <w:pPr>
        <w:keepNext w:val="0"/>
        <w:spacing w:after="200" w:before="0"/>
      </w:pPr>
      <w:r>
        <w:rPr>
          <w:rFonts w:ascii="Calibri" w:hAnsi="Calibri"/>
          <w:b w:val="0"/>
          <w:i w:val="0"/>
          <w:color w:val="565656"/>
          <w:sz w:val="19"/>
        </w:rPr>
        <w:t>Required by section 30(9) to accompany the draft</w:t>
      </w:r>
    </w:p>
    <w:p>
      <w:pPr>
        <w:keepNext w:val="0"/>
        <w:spacing w:after="160" w:before="0"/>
      </w:pPr>
      <w:r>
        <w:rPr>
          <w:rFonts w:ascii="Calibri" w:hAnsi="Calibri"/>
          <w:b w:val="0"/>
          <w:i w:val="0"/>
          <w:color w:val="565656"/>
          <w:sz w:val="19"/>
        </w:rPr>
        <w:t>Rule 13(1) prescribes what this statement must contain. The first five rows are its words; the rest are here because the draft is easier to certify with them.</w:t>
      </w:r>
    </w:p>
    <w:tbl>
      <w:tblPr>
        <w:tblStyle w:val="TableGrid"/>
        <w:tblW w:type="auto" w:w="0"/>
        <w:tblLook w:firstColumn="1" w:firstRow="1" w:lastColumn="0" w:lastRow="0" w:noHBand="0" w:noVBand="1" w:val="04A0"/>
      </w:tblPr>
      <w:tblGrid>
        <w:gridCol w:w="3216"/>
        <w:gridCol w:w="3216"/>
        <w:gridCol w:w="3216"/>
      </w:tblGrid>
      <w:tr>
        <w:tc>
          <w:tcPr>
            <w:tcW w:type="dxa" w:w="3312"/>
          </w:tcPr>
          <w:p>
            <w:pPr>
              <w:spacing w:after="40"/>
              <w:shd w:val="clear" w:fill="E8F4FC"/>
            </w:pPr>
            <w:r/>
            <w:r>
              <w:rPr>
                <w:rFonts w:ascii="Calibri" w:hAnsi="Calibri"/>
                <w:b/>
                <w:color w:val="0069A4"/>
                <w:sz w:val="17"/>
              </w:rPr>
              <w:t>Particular</w:t>
            </w:r>
          </w:p>
        </w:tc>
        <w:tc>
          <w:tcPr>
            <w:tcW w:type="dxa" w:w="4320"/>
          </w:tcPr>
          <w:p>
            <w:pPr>
              <w:spacing w:after="40"/>
              <w:shd w:val="clear" w:fill="E8F4FC"/>
            </w:pPr>
            <w:r/>
            <w:r>
              <w:rPr>
                <w:rFonts w:ascii="Calibri" w:hAnsi="Calibri"/>
                <w:b/>
                <w:color w:val="0069A4"/>
                <w:sz w:val="17"/>
              </w:rPr>
              <w:t>Entry</w:t>
            </w:r>
          </w:p>
        </w:tc>
        <w:tc>
          <w:tcPr>
            <w:tcW w:type="dxa" w:w="1728"/>
          </w:tcPr>
          <w:p>
            <w:pPr>
              <w:spacing w:after="40"/>
              <w:shd w:val="clear" w:fill="E8F4FC"/>
            </w:pPr>
            <w:r/>
            <w:r>
              <w:rPr>
                <w:rFonts w:ascii="Calibri" w:hAnsi="Calibri"/>
                <w:b/>
                <w:color w:val="0069A4"/>
                <w:sz w:val="17"/>
              </w:rPr>
              <w:t>Required by</w:t>
            </w:r>
          </w:p>
        </w:tc>
      </w:tr>
      <w:tr>
        <w:tc>
          <w:tcPr>
            <w:tcW w:type="dxa" w:w="3312"/>
          </w:tcPr>
          <w:p>
            <w:pPr>
              <w:spacing w:after="40"/>
            </w:pPr>
            <w:r/>
            <w:r>
              <w:rPr>
                <w:rFonts w:ascii="Calibri" w:hAnsi="Calibri"/>
                <w:color w:val="565656"/>
                <w:sz w:val="17"/>
              </w:rPr>
              <w:t>Name of the industrial establishment or undertaking</w:t>
            </w:r>
          </w:p>
        </w:tc>
        <w:tc>
          <w:tcPr>
            <w:tcW w:type="dxa" w:w="4320"/>
          </w:tcPr>
          <w:p>
            <w:pPr>
              <w:spacing w:after="40"/>
            </w:pPr>
            <w:r/>
            <w:r>
              <w:rPr>
                <w:rFonts w:ascii="Calibri" w:hAnsi="Calibri"/>
                <w:color w:val="565656"/>
                <w:sz w:val="17"/>
              </w:rPr>
              <w:t>[COMPANY NAME]</w:t>
            </w:r>
          </w:p>
        </w:tc>
        <w:tc>
          <w:tcPr>
            <w:tcW w:type="dxa" w:w="1728"/>
          </w:tcPr>
          <w:p>
            <w:pPr>
              <w:spacing w:after="40"/>
            </w:pPr>
            <w:r/>
            <w:r>
              <w:rPr>
                <w:rFonts w:ascii="Calibri" w:hAnsi="Calibri"/>
                <w:color w:val="565656"/>
                <w:sz w:val="17"/>
              </w:rPr>
              <w:t>rule 13(1)</w:t>
            </w:r>
          </w:p>
        </w:tc>
      </w:tr>
      <w:tr>
        <w:tc>
          <w:tcPr>
            <w:tcW w:type="dxa" w:w="3312"/>
          </w:tcPr>
          <w:p>
            <w:pPr>
              <w:spacing w:after="40"/>
            </w:pPr>
            <w:r/>
            <w:r>
              <w:rPr>
                <w:rFonts w:ascii="Calibri" w:hAnsi="Calibri"/>
                <w:color w:val="565656"/>
                <w:sz w:val="17"/>
              </w:rPr>
              <w:t>Address</w:t>
            </w:r>
          </w:p>
        </w:tc>
        <w:tc>
          <w:tcPr>
            <w:tcW w:type="dxa" w:w="4320"/>
          </w:tcPr>
          <w:p>
            <w:pPr>
              <w:spacing w:after="40"/>
            </w:pPr>
            <w:r/>
            <w:r>
              <w:rPr>
                <w:rFonts w:ascii="Calibri" w:hAnsi="Calibri"/>
                <w:color w:val="565656"/>
                <w:sz w:val="17"/>
              </w:rPr>
              <w:t>[ADDRESS]</w:t>
            </w:r>
          </w:p>
        </w:tc>
        <w:tc>
          <w:tcPr>
            <w:tcW w:type="dxa" w:w="1728"/>
          </w:tcPr>
          <w:p>
            <w:pPr>
              <w:spacing w:after="40"/>
            </w:pPr>
            <w:r/>
            <w:r>
              <w:rPr>
                <w:rFonts w:ascii="Calibri" w:hAnsi="Calibri"/>
                <w:color w:val="565656"/>
                <w:sz w:val="17"/>
              </w:rPr>
              <w:t>rule 13(1)</w:t>
            </w:r>
          </w:p>
        </w:tc>
      </w:tr>
      <w:tr>
        <w:tc>
          <w:tcPr>
            <w:tcW w:type="dxa" w:w="3312"/>
          </w:tcPr>
          <w:p>
            <w:pPr>
              <w:spacing w:after="40"/>
            </w:pPr>
            <w:r/>
            <w:r>
              <w:rPr>
                <w:rFonts w:ascii="Calibri" w:hAnsi="Calibri"/>
                <w:color w:val="565656"/>
                <w:sz w:val="17"/>
              </w:rPr>
              <w:t>E-mail address</w:t>
            </w:r>
          </w:p>
        </w:tc>
        <w:tc>
          <w:tcPr>
            <w:tcW w:type="dxa" w:w="4320"/>
          </w:tcPr>
          <w:p>
            <w:pPr>
              <w:spacing w:after="40"/>
            </w:pPr>
            <w:r/>
            <w:r>
              <w:rPr>
                <w:rFonts w:ascii="Calibri" w:hAnsi="Calibri"/>
                <w:color w:val="565656"/>
                <w:sz w:val="17"/>
              </w:rPr>
              <w:t>[EMAIL]</w:t>
            </w:r>
          </w:p>
        </w:tc>
        <w:tc>
          <w:tcPr>
            <w:tcW w:type="dxa" w:w="1728"/>
          </w:tcPr>
          <w:p>
            <w:pPr>
              <w:spacing w:after="40"/>
            </w:pPr>
            <w:r/>
            <w:r>
              <w:rPr>
                <w:rFonts w:ascii="Calibri" w:hAnsi="Calibri"/>
                <w:color w:val="565656"/>
                <w:sz w:val="17"/>
              </w:rPr>
              <w:t>rule 13(1)</w:t>
            </w:r>
          </w:p>
        </w:tc>
      </w:tr>
      <w:tr>
        <w:tc>
          <w:tcPr>
            <w:tcW w:type="dxa" w:w="3312"/>
          </w:tcPr>
          <w:p>
            <w:pPr>
              <w:spacing w:after="40"/>
            </w:pPr>
            <w:r/>
            <w:r>
              <w:rPr>
                <w:rFonts w:ascii="Calibri" w:hAnsi="Calibri"/>
                <w:color w:val="565656"/>
                <w:sz w:val="17"/>
              </w:rPr>
              <w:t>Contact number</w:t>
            </w:r>
          </w:p>
        </w:tc>
        <w:tc>
          <w:tcPr>
            <w:tcW w:type="dxa" w:w="4320"/>
          </w:tcPr>
          <w:p>
            <w:pPr>
              <w:spacing w:after="40"/>
            </w:pPr>
            <w:r/>
            <w:r>
              <w:rPr>
                <w:rFonts w:ascii="Calibri" w:hAnsi="Calibri"/>
                <w:color w:val="565656"/>
                <w:sz w:val="17"/>
              </w:rPr>
              <w:t>[PHONE]</w:t>
            </w:r>
          </w:p>
        </w:tc>
        <w:tc>
          <w:tcPr>
            <w:tcW w:type="dxa" w:w="1728"/>
          </w:tcPr>
          <w:p>
            <w:pPr>
              <w:spacing w:after="40"/>
            </w:pPr>
            <w:r/>
            <w:r>
              <w:rPr>
                <w:rFonts w:ascii="Calibri" w:hAnsi="Calibri"/>
                <w:color w:val="565656"/>
                <w:sz w:val="17"/>
              </w:rPr>
              <w:t>rule 13(1)</w:t>
            </w:r>
          </w:p>
        </w:tc>
      </w:tr>
      <w:tr>
        <w:tc>
          <w:tcPr>
            <w:tcW w:type="dxa" w:w="3312"/>
          </w:tcPr>
          <w:p>
            <w:pPr>
              <w:spacing w:after="40"/>
            </w:pPr>
            <w:r/>
            <w:r>
              <w:rPr>
                <w:rFonts w:ascii="Calibri" w:hAnsi="Calibri"/>
                <w:color w:val="565656"/>
                <w:sz w:val="17"/>
              </w:rPr>
              <w:t>Strength and details of workers employed</w:t>
            </w:r>
          </w:p>
        </w:tc>
        <w:tc>
          <w:tcPr>
            <w:tcW w:type="dxa" w:w="4320"/>
          </w:tcPr>
          <w:p>
            <w:pPr>
              <w:spacing w:after="40"/>
            </w:pPr>
            <w:r/>
            <w:r>
              <w:rPr>
                <w:rFonts w:ascii="Calibri" w:hAnsi="Calibri"/>
                <w:color w:val="565656"/>
                <w:sz w:val="17"/>
              </w:rPr>
              <w:t>[NUMBER]; permanent [N], temporary [N], probationers [N], apprentices [N], badlis [N], fixed term [N]</w:t>
            </w:r>
          </w:p>
        </w:tc>
        <w:tc>
          <w:tcPr>
            <w:tcW w:type="dxa" w:w="1728"/>
          </w:tcPr>
          <w:p>
            <w:pPr>
              <w:spacing w:after="40"/>
            </w:pPr>
            <w:r/>
            <w:r>
              <w:rPr>
                <w:rFonts w:ascii="Calibri" w:hAnsi="Calibri"/>
                <w:color w:val="565656"/>
                <w:sz w:val="17"/>
              </w:rPr>
              <w:t>rule 13(1)</w:t>
            </w:r>
          </w:p>
        </w:tc>
      </w:tr>
      <w:tr>
        <w:tc>
          <w:tcPr>
            <w:tcW w:type="dxa" w:w="3312"/>
          </w:tcPr>
          <w:p>
            <w:pPr>
              <w:spacing w:after="40"/>
            </w:pPr>
            <w:r/>
            <w:r>
              <w:rPr>
                <w:rFonts w:ascii="Calibri" w:hAnsi="Calibri"/>
                <w:color w:val="565656"/>
                <w:sz w:val="17"/>
              </w:rPr>
              <w:t>Particulars of the Trade Unions the workers belong to</w:t>
            </w:r>
          </w:p>
        </w:tc>
        <w:tc>
          <w:tcPr>
            <w:tcW w:type="dxa" w:w="4320"/>
          </w:tcPr>
          <w:p>
            <w:pPr>
              <w:spacing w:after="40"/>
            </w:pPr>
            <w:r/>
            <w:r>
              <w:rPr>
                <w:rFonts w:ascii="Calibri" w:hAnsi="Calibri"/>
                <w:color w:val="565656"/>
                <w:sz w:val="17"/>
              </w:rPr>
              <w:t>[NAMES, REGISTRATION NUMBERS]</w:t>
            </w:r>
          </w:p>
        </w:tc>
        <w:tc>
          <w:tcPr>
            <w:tcW w:type="dxa" w:w="1728"/>
          </w:tcPr>
          <w:p>
            <w:pPr>
              <w:spacing w:after="40"/>
            </w:pPr>
            <w:r/>
            <w:r>
              <w:rPr>
                <w:rFonts w:ascii="Calibri" w:hAnsi="Calibri"/>
                <w:color w:val="565656"/>
                <w:sz w:val="17"/>
              </w:rPr>
              <w:t>rule 13(1)</w:t>
            </w:r>
          </w:p>
        </w:tc>
      </w:tr>
      <w:tr>
        <w:tc>
          <w:tcPr>
            <w:tcW w:type="dxa" w:w="3312"/>
          </w:tcPr>
          <w:p>
            <w:pPr>
              <w:spacing w:after="40"/>
            </w:pPr>
            <w:r/>
            <w:r>
              <w:rPr>
                <w:rFonts w:ascii="Calibri" w:hAnsi="Calibri"/>
                <w:color w:val="565656"/>
                <w:sz w:val="17"/>
              </w:rPr>
              <w:t>Highest number on any day in the preceding twelve months</w:t>
            </w:r>
          </w:p>
        </w:tc>
        <w:tc>
          <w:tcPr>
            <w:tcW w:type="dxa" w:w="4320"/>
          </w:tcPr>
          <w:p>
            <w:pPr>
              <w:spacing w:after="40"/>
            </w:pPr>
            <w:r/>
            <w:r>
              <w:rPr>
                <w:rFonts w:ascii="Calibri" w:hAnsi="Calibri"/>
                <w:color w:val="565656"/>
                <w:sz w:val="17"/>
              </w:rPr>
              <w:t>[NUMBER] on [DD-MMM-YYYY]</w:t>
            </w:r>
          </w:p>
        </w:tc>
        <w:tc>
          <w:tcPr>
            <w:tcW w:type="dxa" w:w="1728"/>
          </w:tcPr>
          <w:p>
            <w:pPr>
              <w:spacing w:after="40"/>
            </w:pPr>
            <w:r/>
            <w:r>
              <w:rPr>
                <w:rFonts w:ascii="Calibri" w:hAnsi="Calibri"/>
                <w:color w:val="565656"/>
                <w:sz w:val="17"/>
              </w:rPr>
              <w:t>s.28(1), the lookback</w:t>
            </w:r>
          </w:p>
        </w:tc>
      </w:tr>
      <w:tr>
        <w:tc>
          <w:tcPr>
            <w:tcW w:type="dxa" w:w="3312"/>
          </w:tcPr>
          <w:p>
            <w:pPr>
              <w:spacing w:after="40"/>
            </w:pPr>
            <w:r/>
            <w:r>
              <w:rPr>
                <w:rFonts w:ascii="Calibri" w:hAnsi="Calibri"/>
                <w:color w:val="565656"/>
                <w:sz w:val="17"/>
              </w:rPr>
              <w:t>Recognised negotiating union or council, if any</w:t>
            </w:r>
          </w:p>
        </w:tc>
        <w:tc>
          <w:tcPr>
            <w:tcW w:type="dxa" w:w="4320"/>
          </w:tcPr>
          <w:p>
            <w:pPr>
              <w:spacing w:after="40"/>
            </w:pPr>
            <w:r/>
            <w:r>
              <w:rPr>
                <w:rFonts w:ascii="Calibri" w:hAnsi="Calibri"/>
                <w:color w:val="565656"/>
                <w:sz w:val="17"/>
              </w:rPr>
              <w:t>[NAMES]</w:t>
            </w:r>
          </w:p>
        </w:tc>
        <w:tc>
          <w:tcPr>
            <w:tcW w:type="dxa" w:w="1728"/>
          </w:tcPr>
          <w:p>
            <w:pPr>
              <w:spacing w:after="40"/>
            </w:pPr>
            <w:r/>
            <w:r>
              <w:rPr>
                <w:rFonts w:ascii="Calibri" w:hAnsi="Calibri"/>
                <w:color w:val="565656"/>
                <w:sz w:val="17"/>
              </w:rPr>
              <w:t>s.30(2)</w:t>
            </w:r>
          </w:p>
        </w:tc>
      </w:tr>
      <w:tr>
        <w:tc>
          <w:tcPr>
            <w:tcW w:type="dxa" w:w="3312"/>
          </w:tcPr>
          <w:p>
            <w:pPr>
              <w:spacing w:after="40"/>
            </w:pPr>
            <w:r/>
            <w:r>
              <w:rPr>
                <w:rFonts w:ascii="Calibri" w:hAnsi="Calibri"/>
                <w:color w:val="565656"/>
                <w:sz w:val="17"/>
              </w:rPr>
              <w:t>Date of consultation</w:t>
            </w:r>
          </w:p>
        </w:tc>
        <w:tc>
          <w:tcPr>
            <w:tcW w:type="dxa" w:w="4320"/>
          </w:tcPr>
          <w:p>
            <w:pPr>
              <w:spacing w:after="40"/>
            </w:pPr>
            <w:r/>
            <w:r>
              <w:rPr>
                <w:rFonts w:ascii="Calibri" w:hAnsi="Calibri"/>
                <w:color w:val="565656"/>
                <w:sz w:val="17"/>
              </w:rPr>
              <w:t>[DD-MMM-YYYY]</w:t>
            </w:r>
          </w:p>
        </w:tc>
        <w:tc>
          <w:tcPr>
            <w:tcW w:type="dxa" w:w="1728"/>
          </w:tcPr>
          <w:p>
            <w:pPr>
              <w:spacing w:after="40"/>
            </w:pPr>
            <w:r/>
            <w:r>
              <w:rPr>
                <w:rFonts w:ascii="Calibri" w:hAnsi="Calibri"/>
                <w:color w:val="565656"/>
                <w:sz w:val="17"/>
              </w:rPr>
              <w:t>s.30(2)</w:t>
            </w:r>
          </w:p>
        </w:tc>
      </w:tr>
    </w:tbl>
    <w:p>
      <w:pPr>
        <w:keepNext w:val="0"/>
        <w:spacing w:after="160" w:before="0"/>
      </w:pPr>
      <w:r>
        <w:rPr>
          <w:rFonts w:ascii="Calibri" w:hAnsi="Calibri"/>
          <w:b w:val="0"/>
          <w:i w:val="0"/>
          <w:color w:val="1D1D1D"/>
          <w:sz w:val="21"/>
        </w:rPr>
      </w:r>
    </w:p>
    <w:p>
      <w:pPr>
        <w:keepNext w:val="0"/>
        <w:spacing w:after="160" w:before="0"/>
      </w:pPr>
      <w:r>
        <w:rPr>
          <w:rFonts w:ascii="Calibri" w:hAnsi="Calibri"/>
          <w:b w:val="0"/>
          <w:i w:val="0"/>
          <w:color w:val="1D1D1D"/>
          <w:sz w:val="20"/>
        </w:rPr>
        <w:t>Signed by a person authorised by the establishment, as rule 13(3) requires:</w:t>
      </w:r>
    </w:p>
    <w:p>
      <w:pPr>
        <w:keepNext w:val="0"/>
        <w:spacing w:after="160" w:before="0"/>
      </w:pPr>
      <w:r>
        <w:rPr>
          <w:rFonts w:ascii="Calibri" w:hAnsi="Calibri"/>
          <w:b w:val="0"/>
          <w:i w:val="0"/>
          <w:color w:val="1D1D1D"/>
          <w:sz w:val="19"/>
        </w:rPr>
        <w:t>[NAME], [DESIGNATION]        Signature: ______________________        Date: ______________</w:t>
      </w:r>
    </w:p>
    <w:p>
      <w:pPr>
        <w:keepNext w:val="0"/>
        <w:spacing w:after="160" w:before="0"/>
        <w:ind w:left="173"/>
        <w:shd w:val="clear" w:fill="FFF6E5"/>
      </w:pPr>
      <w:r>
        <w:rPr>
          <w:rFonts w:ascii="Calibri" w:hAnsi="Calibri"/>
          <w:b w:val="0"/>
          <w:i/>
          <w:color w:val="1D1D1D"/>
          <w:sz w:val="19"/>
        </w:rPr>
        <w:t>Rule 13(1) names the e-mail address and the contact number specifically. A statement that gives the establishment's postal address alone is short of what the rule asks for. Where you are applying to MODIFY rather than to certify, rule 13(2) wants a tabular statement of each provision in force against the proposed change, with reasons, which is Format 09.</w:t>
      </w:r>
    </w:p>
    <w:p>
      <w:r>
        <w:br w:type="page"/>
      </w:r>
    </w:p>
    <w:p>
      <w:pPr>
        <w:pStyle w:val="Heading1"/>
        <w:keepNext/>
        <w:spacing w:after="200" w:before="80"/>
        <w:ind w:left="115"/>
        <w:shd w:val="clear" w:fill="0069A4"/>
      </w:pPr>
      <w:r>
        <w:rPr>
          <w:rFonts w:ascii="Calibri" w:hAnsi="Calibri"/>
          <w:b/>
          <w:color w:val="FFFFFF"/>
          <w:sz w:val="20"/>
        </w:rPr>
        <w:t>FORMAT 06  ·  RECORD OF CONSULTATION WITH THE UNION</w:t>
      </w:r>
    </w:p>
    <w:p>
      <w:pPr>
        <w:keepNext w:val="0"/>
        <w:spacing w:after="160" w:before="0"/>
        <w:ind w:left="144"/>
        <w:shd w:val="clear" w:fill="F4FAFE"/>
      </w:pPr>
      <w:r>
        <w:rPr>
          <w:rFonts w:ascii="Calibri" w:hAnsi="Calibri"/>
          <w:b w:val="0"/>
          <w:i/>
          <w:color w:val="565656"/>
          <w:sz w:val="18"/>
        </w:rPr>
        <w:t>Section 30(2) makes consultation a step, not a courtesy. This is the note that proves it happened.</w:t>
      </w:r>
    </w:p>
    <w:p>
      <w:pPr>
        <w:keepNext w:val="0"/>
        <w:spacing w:after="40" w:before="0"/>
      </w:pPr>
      <w:r>
        <w:rPr>
          <w:rFonts w:ascii="Calibri" w:hAnsi="Calibri"/>
          <w:b/>
          <w:i w:val="0"/>
          <w:color w:val="1D1D1D"/>
          <w:sz w:val="26"/>
        </w:rPr>
        <w:t>ANNEXURE B  ·  RECORD OF CONSULTATION</w:t>
      </w:r>
    </w:p>
    <w:p>
      <w:pPr>
        <w:keepNext w:val="0"/>
        <w:spacing w:after="200" w:before="0"/>
      </w:pPr>
      <w:r>
        <w:rPr>
          <w:rFonts w:ascii="Calibri" w:hAnsi="Calibri"/>
          <w:b w:val="0"/>
          <w:i w:val="0"/>
          <w:color w:val="565656"/>
          <w:sz w:val="19"/>
        </w:rPr>
        <w:t>Section 30(2) makes consultation a step, not a courtesy</w:t>
      </w:r>
    </w:p>
    <w:tbl>
      <w:tblPr>
        <w:tblStyle w:val="TableGrid"/>
        <w:tblW w:type="auto" w:w="0"/>
        <w:tblLook w:firstColumn="1" w:firstRow="1" w:lastColumn="0" w:lastRow="0" w:noHBand="0" w:noVBand="1" w:val="04A0"/>
      </w:tblPr>
      <w:tblGrid>
        <w:gridCol w:w="4824"/>
        <w:gridCol w:w="4824"/>
      </w:tblGrid>
      <w:tr>
        <w:tc>
          <w:tcPr>
            <w:tcW w:type="dxa" w:w="3168"/>
          </w:tcPr>
          <w:p>
            <w:pPr>
              <w:spacing w:after="40"/>
              <w:shd w:val="clear" w:fill="E8F4FC"/>
            </w:pPr>
            <w:r/>
            <w:r>
              <w:rPr>
                <w:rFonts w:ascii="Calibri" w:hAnsi="Calibri"/>
                <w:b/>
                <w:color w:val="0069A4"/>
                <w:sz w:val="17"/>
              </w:rPr>
              <w:t>Field</w:t>
            </w:r>
          </w:p>
        </w:tc>
        <w:tc>
          <w:tcPr>
            <w:tcW w:type="dxa" w:w="6192"/>
          </w:tcPr>
          <w:p>
            <w:pPr>
              <w:spacing w:after="40"/>
              <w:shd w:val="clear" w:fill="E8F4FC"/>
            </w:pPr>
            <w:r/>
            <w:r>
              <w:rPr>
                <w:rFonts w:ascii="Calibri" w:hAnsi="Calibri"/>
                <w:b/>
                <w:color w:val="0069A4"/>
                <w:sz w:val="17"/>
              </w:rPr>
              <w:t>Entry</w:t>
            </w:r>
          </w:p>
        </w:tc>
      </w:tr>
      <w:tr>
        <w:tc>
          <w:tcPr>
            <w:tcW w:type="dxa" w:w="3168"/>
          </w:tcPr>
          <w:p>
            <w:pPr>
              <w:spacing w:after="40"/>
            </w:pPr>
            <w:r/>
            <w:r>
              <w:rPr>
                <w:rFonts w:ascii="Calibri" w:hAnsi="Calibri"/>
                <w:color w:val="565656"/>
                <w:sz w:val="17"/>
              </w:rPr>
              <w:t>Date and place</w:t>
            </w:r>
          </w:p>
        </w:tc>
        <w:tc>
          <w:tcPr>
            <w:tcW w:type="dxa" w:w="6192"/>
          </w:tcPr>
          <w:p>
            <w:pPr>
              <w:spacing w:after="40"/>
            </w:pPr>
            <w:r/>
            <w:r>
              <w:rPr>
                <w:rFonts w:ascii="Calibri" w:hAnsi="Calibri"/>
                <w:color w:val="565656"/>
                <w:sz w:val="17"/>
              </w:rPr>
              <w:t>[DD-MMM-YYYY], [PLACE]</w:t>
            </w:r>
          </w:p>
        </w:tc>
      </w:tr>
      <w:tr>
        <w:tc>
          <w:tcPr>
            <w:tcW w:type="dxa" w:w="3168"/>
          </w:tcPr>
          <w:p>
            <w:pPr>
              <w:spacing w:after="40"/>
            </w:pPr>
            <w:r/>
            <w:r>
              <w:rPr>
                <w:rFonts w:ascii="Calibri" w:hAnsi="Calibri"/>
                <w:color w:val="565656"/>
                <w:sz w:val="17"/>
              </w:rPr>
              <w:t>Consulted</w:t>
            </w:r>
          </w:p>
        </w:tc>
        <w:tc>
          <w:tcPr>
            <w:tcW w:type="dxa" w:w="6192"/>
          </w:tcPr>
          <w:p>
            <w:pPr>
              <w:spacing w:after="40"/>
            </w:pPr>
            <w:r/>
            <w:r>
              <w:rPr>
                <w:rFonts w:ascii="Calibri" w:hAnsi="Calibri"/>
                <w:color w:val="565656"/>
                <w:sz w:val="17"/>
              </w:rPr>
              <w:t>[TRADE UNION / NEGOTIATING UNION / NEGOTIATING COUNCIL MEMBERS]</w:t>
            </w:r>
          </w:p>
        </w:tc>
      </w:tr>
      <w:tr>
        <w:tc>
          <w:tcPr>
            <w:tcW w:type="dxa" w:w="3168"/>
          </w:tcPr>
          <w:p>
            <w:pPr>
              <w:spacing w:after="40"/>
            </w:pPr>
            <w:r/>
            <w:r>
              <w:rPr>
                <w:rFonts w:ascii="Calibri" w:hAnsi="Calibri"/>
                <w:color w:val="565656"/>
                <w:sz w:val="17"/>
              </w:rPr>
              <w:t>Present for the employer</w:t>
            </w:r>
          </w:p>
        </w:tc>
        <w:tc>
          <w:tcPr>
            <w:tcW w:type="dxa" w:w="6192"/>
          </w:tcPr>
          <w:p>
            <w:pPr>
              <w:spacing w:after="40"/>
            </w:pPr>
            <w:r/>
            <w:r>
              <w:rPr>
                <w:rFonts w:ascii="Calibri" w:hAnsi="Calibri"/>
                <w:color w:val="565656"/>
                <w:sz w:val="17"/>
              </w:rPr>
              <w:t>[NAMES AND DESIGNATIONS]</w:t>
            </w:r>
          </w:p>
        </w:tc>
      </w:tr>
      <w:tr>
        <w:tc>
          <w:tcPr>
            <w:tcW w:type="dxa" w:w="3168"/>
          </w:tcPr>
          <w:p>
            <w:pPr>
              <w:spacing w:after="40"/>
            </w:pPr>
            <w:r/>
            <w:r>
              <w:rPr>
                <w:rFonts w:ascii="Calibri" w:hAnsi="Calibri"/>
                <w:color w:val="565656"/>
                <w:sz w:val="17"/>
              </w:rPr>
              <w:t>Present for the workers</w:t>
            </w:r>
          </w:p>
        </w:tc>
        <w:tc>
          <w:tcPr>
            <w:tcW w:type="dxa" w:w="6192"/>
          </w:tcPr>
          <w:p>
            <w:pPr>
              <w:spacing w:after="40"/>
            </w:pPr>
            <w:r/>
            <w:r>
              <w:rPr>
                <w:rFonts w:ascii="Calibri" w:hAnsi="Calibri"/>
                <w:color w:val="565656"/>
                <w:sz w:val="17"/>
              </w:rPr>
              <w:t>[NAMES]</w:t>
            </w:r>
          </w:p>
        </w:tc>
      </w:tr>
      <w:tr>
        <w:tc>
          <w:tcPr>
            <w:tcW w:type="dxa" w:w="3168"/>
          </w:tcPr>
          <w:p>
            <w:pPr>
              <w:spacing w:after="40"/>
            </w:pPr>
            <w:r/>
            <w:r>
              <w:rPr>
                <w:rFonts w:ascii="Calibri" w:hAnsi="Calibri"/>
                <w:color w:val="565656"/>
                <w:sz w:val="17"/>
              </w:rPr>
              <w:t>Draft circulated on</w:t>
            </w:r>
          </w:p>
        </w:tc>
        <w:tc>
          <w:tcPr>
            <w:tcW w:type="dxa" w:w="6192"/>
          </w:tcPr>
          <w:p>
            <w:pPr>
              <w:spacing w:after="40"/>
            </w:pPr>
            <w:r/>
            <w:r>
              <w:rPr>
                <w:rFonts w:ascii="Calibri" w:hAnsi="Calibri"/>
                <w:color w:val="565656"/>
                <w:sz w:val="17"/>
              </w:rPr>
              <w:t>[DD-MMM-YYYY]</w:t>
            </w:r>
          </w:p>
        </w:tc>
      </w:tr>
      <w:tr>
        <w:tc>
          <w:tcPr>
            <w:tcW w:type="dxa" w:w="3168"/>
          </w:tcPr>
          <w:p>
            <w:pPr>
              <w:spacing w:after="40"/>
            </w:pPr>
            <w:r/>
            <w:r>
              <w:rPr>
                <w:rFonts w:ascii="Calibri" w:hAnsi="Calibri"/>
                <w:color w:val="565656"/>
                <w:sz w:val="17"/>
              </w:rPr>
              <w:t>Points raised</w:t>
            </w:r>
          </w:p>
        </w:tc>
        <w:tc>
          <w:tcPr>
            <w:tcW w:type="dxa" w:w="6192"/>
          </w:tcPr>
          <w:p>
            <w:pPr>
              <w:spacing w:after="40"/>
            </w:pPr>
            <w:r/>
            <w:r>
              <w:rPr>
                <w:rFonts w:ascii="Calibri" w:hAnsi="Calibri"/>
                <w:color w:val="565656"/>
                <w:sz w:val="17"/>
              </w:rPr>
              <w:t>[SUMMARY]</w:t>
            </w:r>
          </w:p>
        </w:tc>
      </w:tr>
      <w:tr>
        <w:tc>
          <w:tcPr>
            <w:tcW w:type="dxa" w:w="3168"/>
          </w:tcPr>
          <w:p>
            <w:pPr>
              <w:spacing w:after="40"/>
            </w:pPr>
            <w:r/>
            <w:r>
              <w:rPr>
                <w:rFonts w:ascii="Calibri" w:hAnsi="Calibri"/>
                <w:color w:val="565656"/>
                <w:sz w:val="17"/>
              </w:rPr>
              <w:t>Changes made as a result</w:t>
            </w:r>
          </w:p>
        </w:tc>
        <w:tc>
          <w:tcPr>
            <w:tcW w:type="dxa" w:w="6192"/>
          </w:tcPr>
          <w:p>
            <w:pPr>
              <w:spacing w:after="40"/>
            </w:pPr>
            <w:r/>
            <w:r>
              <w:rPr>
                <w:rFonts w:ascii="Calibri" w:hAnsi="Calibri"/>
                <w:color w:val="565656"/>
                <w:sz w:val="17"/>
              </w:rPr>
              <w:t>[SUMMARY, OR: none, with reasons]</w:t>
            </w:r>
          </w:p>
        </w:tc>
      </w:tr>
      <w:tr>
        <w:tc>
          <w:tcPr>
            <w:tcW w:type="dxa" w:w="3168"/>
          </w:tcPr>
          <w:p>
            <w:pPr>
              <w:spacing w:after="40"/>
            </w:pPr>
            <w:r/>
            <w:r>
              <w:rPr>
                <w:rFonts w:ascii="Calibri" w:hAnsi="Calibri"/>
                <w:color w:val="565656"/>
                <w:sz w:val="17"/>
              </w:rPr>
              <w:t>Points left unresolved</w:t>
            </w:r>
          </w:p>
        </w:tc>
        <w:tc>
          <w:tcPr>
            <w:tcW w:type="dxa" w:w="6192"/>
          </w:tcPr>
          <w:p>
            <w:pPr>
              <w:spacing w:after="40"/>
            </w:pPr>
            <w:r/>
            <w:r>
              <w:rPr>
                <w:rFonts w:ascii="Calibri" w:hAnsi="Calibri"/>
                <w:color w:val="565656"/>
                <w:sz w:val="17"/>
              </w:rPr>
              <w:t>[SUMMARY]</w:t>
            </w:r>
          </w:p>
        </w:tc>
      </w:tr>
    </w:tbl>
    <w:p>
      <w:pPr>
        <w:keepNext w:val="0"/>
        <w:spacing w:after="160" w:before="0"/>
      </w:pPr>
      <w:r>
        <w:rPr>
          <w:rFonts w:ascii="Calibri" w:hAnsi="Calibri"/>
          <w:b w:val="0"/>
          <w:i w:val="0"/>
          <w:color w:val="1D1D1D"/>
          <w:sz w:val="21"/>
        </w:rPr>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160" w:before="0"/>
      </w:pPr>
      <w:r>
        <w:rPr>
          <w:rFonts w:ascii="Calibri" w:hAnsi="Calibri"/>
          <w:b w:val="0"/>
          <w:i w:val="0"/>
          <w:color w:val="565656"/>
          <w:sz w:val="20"/>
        </w:rPr>
        <w:t>________________________________________________________________________________________________________</w:t>
      </w:r>
    </w:p>
    <w:p>
      <w:pPr>
        <w:keepNext w:val="0"/>
        <w:spacing w:after="80" w:before="0"/>
      </w:pPr>
      <w:r>
        <w:rPr>
          <w:rFonts w:ascii="Calibri" w:hAnsi="Calibri"/>
          <w:b w:val="0"/>
          <w:i w:val="0"/>
          <w:color w:val="1D1D1D"/>
          <w:sz w:val="19"/>
        </w:rPr>
        <w:t>Signature for the employer: ______________________       Date: ______________</w:t>
      </w:r>
    </w:p>
    <w:p>
      <w:pPr>
        <w:keepNext w:val="0"/>
        <w:spacing w:after="160" w:before="0"/>
      </w:pPr>
      <w:r>
        <w:rPr>
          <w:rFonts w:ascii="Calibri" w:hAnsi="Calibri"/>
          <w:b w:val="0"/>
          <w:i w:val="0"/>
          <w:color w:val="1D1D1D"/>
          <w:sz w:val="19"/>
        </w:rPr>
        <w:t>Signature for the workers: ______________________       Date: ______________</w:t>
      </w:r>
    </w:p>
    <w:p>
      <w:r>
        <w:br w:type="page"/>
      </w:r>
    </w:p>
    <w:p>
      <w:pPr>
        <w:pStyle w:val="Heading1"/>
        <w:keepNext/>
        <w:spacing w:after="200" w:before="80"/>
        <w:ind w:left="115"/>
        <w:shd w:val="clear" w:fill="0069A4"/>
      </w:pPr>
      <w:r>
        <w:rPr>
          <w:rFonts w:ascii="Calibri" w:hAnsi="Calibri"/>
          <w:b/>
          <w:color w:val="FFFFFF"/>
          <w:sz w:val="20"/>
        </w:rPr>
        <w:t>FORMAT 07  ·  NOTICE BOARD COPY FOR WORKERS</w:t>
      </w:r>
    </w:p>
    <w:p>
      <w:pPr>
        <w:keepNext w:val="0"/>
        <w:spacing w:after="160" w:before="0"/>
        <w:ind w:left="144"/>
        <w:shd w:val="clear" w:fill="F4FAFE"/>
      </w:pPr>
      <w:r>
        <w:rPr>
          <w:rFonts w:ascii="Calibri" w:hAnsi="Calibri"/>
          <w:b w:val="0"/>
          <w:i/>
          <w:color w:val="565656"/>
          <w:sz w:val="18"/>
        </w:rPr>
        <w:t>Section 33(2) makes the employer maintain the text for the information of the workers, in the prescribed language and manner.</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200" w:before="0"/>
      </w:pPr>
      <w:r>
        <w:rPr>
          <w:rFonts w:ascii="Calibri" w:hAnsi="Calibri"/>
          <w:b/>
          <w:i w:val="0"/>
          <w:color w:val="1D1D1D"/>
          <w:sz w:val="26"/>
        </w:rPr>
        <w:t>NOTICE  ·  STANDING ORDERS</w:t>
      </w:r>
    </w:p>
    <w:p>
      <w:pPr>
        <w:keepNext w:val="0"/>
        <w:spacing w:after="120" w:before="0"/>
      </w:pPr>
      <w:r>
        <w:rPr>
          <w:rFonts w:ascii="Calibri" w:hAnsi="Calibri"/>
          <w:b w:val="0"/>
          <w:i w:val="0"/>
          <w:color w:val="1D1D1D"/>
          <w:sz w:val="20"/>
        </w:rPr>
        <w:t>The standing orders of this establishment [came into operation on [DD-MMM-YYYY] / are the Model Standing Orders, 2026, deemed adopted under section 29(2) of the Industrial Relations Code, 2020].</w:t>
      </w:r>
    </w:p>
    <w:p>
      <w:pPr>
        <w:keepNext w:val="0"/>
        <w:spacing w:after="120" w:before="0"/>
      </w:pPr>
      <w:r>
        <w:rPr>
          <w:rFonts w:ascii="Calibri" w:hAnsi="Calibri"/>
          <w:b w:val="0"/>
          <w:i w:val="0"/>
          <w:color w:val="1D1D1D"/>
          <w:sz w:val="20"/>
        </w:rPr>
        <w:t>The full text is maintained in HINDI, ENGLISH AND [LOCAL LANGUAGE], as rule 16(2) of the Industrial Relations (Central) Rules, 2026 requires, and is displayed on the board kept for this purpose at the entrance through which the majority of workers enter, as rule 16(3) requires. [It is also posted at [WEBSITE URL].] A copy will be given to any worker who asks [NAME, DESIGNATION].</w:t>
      </w:r>
    </w:p>
    <w:p>
      <w:pPr>
        <w:keepNext w:val="0"/>
        <w:spacing w:after="120" w:before="0"/>
      </w:pPr>
      <w:r>
        <w:rPr>
          <w:rFonts w:ascii="Calibri" w:hAnsi="Calibri"/>
          <w:b w:val="0"/>
          <w:i w:val="0"/>
          <w:color w:val="1D1D1D"/>
          <w:sz w:val="20"/>
        </w:rPr>
        <w:t>They cover classification of workers, hours and pay-days, shift working, attendance and late coming, leave, entry and search, stoppages, termination and notice, misconduct and suspension, and how to seek redress against unfair treatment.</w:t>
      </w:r>
    </w:p>
    <w:p>
      <w:pPr>
        <w:keepNext w:val="0"/>
        <w:spacing w:after="120" w:before="0"/>
      </w:pPr>
      <w:r>
        <w:rPr>
          <w:rFonts w:ascii="Calibri" w:hAnsi="Calibri"/>
          <w:b w:val="0"/>
          <w:i w:val="0"/>
          <w:color w:val="1D1D1D"/>
          <w:sz w:val="20"/>
        </w:rPr>
        <w:t>A worker who believes these orders have not been followed may raise it with [NAME, DESIGNATION] and thereafter through the means of redress the orders set out.</w:t>
      </w:r>
    </w:p>
    <w:p>
      <w:pPr>
        <w:keepNext w:val="0"/>
        <w:spacing w:after="120" w:before="0"/>
      </w:pPr>
      <w:r>
        <w:rPr>
          <w:rFonts w:ascii="Calibri" w:hAnsi="Calibri"/>
          <w:b w:val="0"/>
          <w:i/>
          <w:color w:val="565656"/>
          <w:sz w:val="18"/>
        </w:rPr>
        <w:t>Section 33(2) makes the employer maintain the text in the prescribed language and manner, and rule 16 is what it prescribes: THREE languages, not one of your choosing, and a SPECIAL BOARD at or near the entrance the majority of workers use, not any convenient noticeboard. The website is permitted, not a substitute.</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08  ·  SUSPENSION AND SUBSISTENCE ALLOWANCE CALCULATOR</w:t>
      </w:r>
    </w:p>
    <w:p>
      <w:pPr>
        <w:keepNext w:val="0"/>
        <w:spacing w:after="160" w:before="0"/>
        <w:ind w:left="144"/>
        <w:shd w:val="clear" w:fill="F4FAFE"/>
      </w:pPr>
      <w:r>
        <w:rPr>
          <w:rFonts w:ascii="Calibri" w:hAnsi="Calibri"/>
          <w:b w:val="0"/>
          <w:i/>
          <w:color w:val="565656"/>
          <w:sz w:val="18"/>
        </w:rPr>
        <w:t>Fifty per cent for ninety days, then seventy-five, with the ninety-day inquiry clock alongside it.</w:t>
      </w:r>
    </w:p>
    <w:p>
      <w:pPr>
        <w:keepNext w:val="0"/>
        <w:spacing w:after="40" w:before="0"/>
      </w:pPr>
      <w:r>
        <w:rPr>
          <w:rFonts w:ascii="Calibri" w:hAnsi="Calibri"/>
          <w:b/>
          <w:i w:val="0"/>
          <w:color w:val="1D1D1D"/>
          <w:sz w:val="26"/>
        </w:rPr>
        <w:t>SUSPENSION AND SUBSISTENCE ALLOWANCE</w:t>
      </w:r>
    </w:p>
    <w:p>
      <w:pPr>
        <w:keepNext w:val="0"/>
        <w:spacing w:after="200" w:before="0"/>
      </w:pPr>
      <w:r>
        <w:rPr>
          <w:rFonts w:ascii="Calibri" w:hAnsi="Calibri"/>
          <w:b w:val="0"/>
          <w:i w:val="0"/>
          <w:color w:val="565656"/>
          <w:sz w:val="19"/>
        </w:rPr>
        <w:t>[WORKER NAME]  ·  suspended [DD-MMM-YYYY]</w:t>
      </w:r>
    </w:p>
    <w:tbl>
      <w:tblPr>
        <w:tblStyle w:val="TableGrid"/>
        <w:tblW w:type="auto" w:w="0"/>
        <w:tblLook w:firstColumn="1" w:firstRow="1" w:lastColumn="0" w:lastRow="0" w:noHBand="0" w:noVBand="1" w:val="04A0"/>
      </w:tblPr>
      <w:tblGrid>
        <w:gridCol w:w="3216"/>
        <w:gridCol w:w="3216"/>
        <w:gridCol w:w="3216"/>
      </w:tblGrid>
      <w:tr>
        <w:tc>
          <w:tcPr>
            <w:tcW w:type="dxa" w:w="3456"/>
          </w:tcPr>
          <w:p>
            <w:pPr>
              <w:spacing w:after="40"/>
              <w:shd w:val="clear" w:fill="E8F4FC"/>
            </w:pPr>
            <w:r/>
            <w:r>
              <w:rPr>
                <w:rFonts w:ascii="Calibri" w:hAnsi="Calibri"/>
                <w:b/>
                <w:color w:val="0069A4"/>
                <w:sz w:val="17"/>
              </w:rPr>
              <w:t>Field</w:t>
            </w:r>
          </w:p>
        </w:tc>
        <w:tc>
          <w:tcPr>
            <w:tcW w:type="dxa" w:w="3456"/>
          </w:tcPr>
          <w:p>
            <w:pPr>
              <w:spacing w:after="40"/>
              <w:shd w:val="clear" w:fill="E8F4FC"/>
            </w:pPr>
            <w:r/>
            <w:r>
              <w:rPr>
                <w:rFonts w:ascii="Calibri" w:hAnsi="Calibri"/>
                <w:b/>
                <w:color w:val="0069A4"/>
                <w:sz w:val="17"/>
              </w:rPr>
              <w:t>Entry</w:t>
            </w:r>
          </w:p>
        </w:tc>
        <w:tc>
          <w:tcPr>
            <w:tcW w:type="dxa" w:w="2448"/>
          </w:tcPr>
          <w:p>
            <w:pPr>
              <w:spacing w:after="40"/>
              <w:shd w:val="clear" w:fill="E8F4FC"/>
            </w:pPr>
            <w:r/>
            <w:r>
              <w:rPr>
                <w:rFonts w:ascii="Calibri" w:hAnsi="Calibri"/>
                <w:b/>
                <w:color w:val="0069A4"/>
                <w:sz w:val="17"/>
              </w:rPr>
              <w:t>Provision</w:t>
            </w:r>
          </w:p>
        </w:tc>
      </w:tr>
      <w:tr>
        <w:tc>
          <w:tcPr>
            <w:tcW w:type="dxa" w:w="3456"/>
          </w:tcPr>
          <w:p>
            <w:pPr>
              <w:spacing w:after="40"/>
            </w:pPr>
            <w:r/>
            <w:r>
              <w:rPr>
                <w:rFonts w:ascii="Calibri" w:hAnsi="Calibri"/>
                <w:color w:val="565656"/>
                <w:sz w:val="17"/>
              </w:rPr>
              <w:t>Wages immediately preceding suspension</w:t>
            </w:r>
          </w:p>
        </w:tc>
        <w:tc>
          <w:tcPr>
            <w:tcW w:type="dxa" w:w="3456"/>
          </w:tcPr>
          <w:p>
            <w:pPr>
              <w:spacing w:after="40"/>
            </w:pPr>
            <w:r/>
            <w:r>
              <w:rPr>
                <w:rFonts w:ascii="Calibri" w:hAnsi="Calibri"/>
                <w:color w:val="565656"/>
                <w:sz w:val="17"/>
              </w:rPr>
              <w:t>[AMOUNT] per month</w:t>
            </w:r>
          </w:p>
        </w:tc>
        <w:tc>
          <w:tcPr>
            <w:tcW w:type="dxa" w:w="2448"/>
          </w:tcPr>
          <w:p>
            <w:pPr>
              <w:spacing w:after="40"/>
            </w:pPr>
            <w:r/>
            <w:r>
              <w:rPr>
                <w:rFonts w:ascii="Calibri" w:hAnsi="Calibri"/>
                <w:color w:val="565656"/>
                <w:sz w:val="17"/>
              </w:rPr>
              <w:t>s.38(3)</w:t>
            </w:r>
          </w:p>
        </w:tc>
      </w:tr>
      <w:tr>
        <w:tc>
          <w:tcPr>
            <w:tcW w:type="dxa" w:w="3456"/>
          </w:tcPr>
          <w:p>
            <w:pPr>
              <w:spacing w:after="40"/>
            </w:pPr>
            <w:r/>
            <w:r>
              <w:rPr>
                <w:rFonts w:ascii="Calibri" w:hAnsi="Calibri"/>
                <w:color w:val="565656"/>
                <w:sz w:val="17"/>
              </w:rPr>
              <w:t>Date of suspension</w:t>
            </w:r>
          </w:p>
        </w:tc>
        <w:tc>
          <w:tcPr>
            <w:tcW w:type="dxa" w:w="3456"/>
          </w:tcPr>
          <w:p>
            <w:pPr>
              <w:spacing w:after="40"/>
            </w:pPr>
            <w:r/>
            <w:r>
              <w:rPr>
                <w:rFonts w:ascii="Calibri" w:hAnsi="Calibri"/>
                <w:color w:val="565656"/>
                <w:sz w:val="17"/>
              </w:rPr>
              <w:t>[DD-MMM-YYYY]</w:t>
            </w:r>
          </w:p>
        </w:tc>
        <w:tc>
          <w:tcPr>
            <w:tcW w:type="dxa" w:w="2448"/>
          </w:tcPr>
          <w:p>
            <w:pPr>
              <w:spacing w:after="40"/>
            </w:pPr>
            <w:r/>
            <w:r>
              <w:rPr>
                <w:rFonts w:ascii="Calibri" w:hAnsi="Calibri"/>
                <w:color w:val="565656"/>
                <w:sz w:val="17"/>
              </w:rPr>
              <w:t>s.38(1)</w:t>
            </w:r>
          </w:p>
        </w:tc>
      </w:tr>
      <w:tr>
        <w:tc>
          <w:tcPr>
            <w:tcW w:type="dxa" w:w="3456"/>
          </w:tcPr>
          <w:p>
            <w:pPr>
              <w:spacing w:after="40"/>
            </w:pPr>
            <w:r/>
            <w:r>
              <w:rPr>
                <w:rFonts w:ascii="Calibri" w:hAnsi="Calibri"/>
                <w:color w:val="565656"/>
                <w:sz w:val="17"/>
              </w:rPr>
              <w:t>Day 90 of the inquiry falls on</w:t>
            </w:r>
          </w:p>
        </w:tc>
        <w:tc>
          <w:tcPr>
            <w:tcW w:type="dxa" w:w="3456"/>
          </w:tcPr>
          <w:p>
            <w:pPr>
              <w:spacing w:after="40"/>
            </w:pPr>
            <w:r/>
            <w:r>
              <w:rPr>
                <w:rFonts w:ascii="Calibri" w:hAnsi="Calibri"/>
                <w:color w:val="565656"/>
                <w:sz w:val="17"/>
              </w:rPr>
              <w:t>[DD-MMM-YYYY]</w:t>
            </w:r>
          </w:p>
        </w:tc>
        <w:tc>
          <w:tcPr>
            <w:tcW w:type="dxa" w:w="2448"/>
          </w:tcPr>
          <w:p>
            <w:pPr>
              <w:spacing w:after="40"/>
            </w:pPr>
            <w:r/>
            <w:r>
              <w:rPr>
                <w:rFonts w:ascii="Calibri" w:hAnsi="Calibri"/>
                <w:color w:val="565656"/>
                <w:sz w:val="17"/>
              </w:rPr>
              <w:t>s.38(1)</w:t>
            </w:r>
          </w:p>
        </w:tc>
      </w:tr>
      <w:tr>
        <w:tc>
          <w:tcPr>
            <w:tcW w:type="dxa" w:w="3456"/>
          </w:tcPr>
          <w:p>
            <w:pPr>
              <w:spacing w:after="40"/>
            </w:pPr>
            <w:r/>
            <w:r>
              <w:rPr>
                <w:rFonts w:ascii="Calibri" w:hAnsi="Calibri"/>
                <w:color w:val="565656"/>
                <w:sz w:val="17"/>
              </w:rPr>
              <w:t>Days 1 to 90, at fifty per cent</w:t>
            </w:r>
          </w:p>
        </w:tc>
        <w:tc>
          <w:tcPr>
            <w:tcW w:type="dxa" w:w="3456"/>
          </w:tcPr>
          <w:p>
            <w:pPr>
              <w:spacing w:after="40"/>
            </w:pPr>
            <w:r/>
            <w:r>
              <w:rPr>
                <w:rFonts w:ascii="Calibri" w:hAnsi="Calibri"/>
                <w:color w:val="565656"/>
                <w:sz w:val="17"/>
              </w:rPr>
              <w:t>[AMOUNT]</w:t>
            </w:r>
          </w:p>
        </w:tc>
        <w:tc>
          <w:tcPr>
            <w:tcW w:type="dxa" w:w="2448"/>
          </w:tcPr>
          <w:p>
            <w:pPr>
              <w:spacing w:after="40"/>
            </w:pPr>
            <w:r/>
            <w:r>
              <w:rPr>
                <w:rFonts w:ascii="Calibri" w:hAnsi="Calibri"/>
                <w:color w:val="565656"/>
                <w:sz w:val="17"/>
              </w:rPr>
              <w:t>s.38(3)(a)</w:t>
            </w:r>
          </w:p>
        </w:tc>
      </w:tr>
      <w:tr>
        <w:tc>
          <w:tcPr>
            <w:tcW w:type="dxa" w:w="3456"/>
          </w:tcPr>
          <w:p>
            <w:pPr>
              <w:spacing w:after="40"/>
            </w:pPr>
            <w:r/>
            <w:r>
              <w:rPr>
                <w:rFonts w:ascii="Calibri" w:hAnsi="Calibri"/>
                <w:color w:val="565656"/>
                <w:sz w:val="17"/>
              </w:rPr>
              <w:t>Day 91 onwards, at seventy-five per cent</w:t>
            </w:r>
          </w:p>
        </w:tc>
        <w:tc>
          <w:tcPr>
            <w:tcW w:type="dxa" w:w="3456"/>
          </w:tcPr>
          <w:p>
            <w:pPr>
              <w:spacing w:after="40"/>
            </w:pPr>
            <w:r/>
            <w:r>
              <w:rPr>
                <w:rFonts w:ascii="Calibri" w:hAnsi="Calibri"/>
                <w:color w:val="565656"/>
                <w:sz w:val="17"/>
              </w:rPr>
              <w:t>[AMOUNT]</w:t>
            </w:r>
          </w:p>
        </w:tc>
        <w:tc>
          <w:tcPr>
            <w:tcW w:type="dxa" w:w="2448"/>
          </w:tcPr>
          <w:p>
            <w:pPr>
              <w:spacing w:after="40"/>
            </w:pPr>
            <w:r/>
            <w:r>
              <w:rPr>
                <w:rFonts w:ascii="Calibri" w:hAnsi="Calibri"/>
                <w:color w:val="565656"/>
                <w:sz w:val="17"/>
              </w:rPr>
              <w:t>s.38(3)(b)</w:t>
            </w:r>
          </w:p>
        </w:tc>
      </w:tr>
      <w:tr>
        <w:tc>
          <w:tcPr>
            <w:tcW w:type="dxa" w:w="3456"/>
          </w:tcPr>
          <w:p>
            <w:pPr>
              <w:spacing w:after="40"/>
            </w:pPr>
            <w:r/>
            <w:r>
              <w:rPr>
                <w:rFonts w:ascii="Calibri" w:hAnsi="Calibri"/>
                <w:color w:val="565656"/>
                <w:sz w:val="17"/>
              </w:rPr>
              <w:t>Is the delay attributable to the worker?</w:t>
            </w:r>
          </w:p>
        </w:tc>
        <w:tc>
          <w:tcPr>
            <w:tcW w:type="dxa" w:w="3456"/>
          </w:tcPr>
          <w:p>
            <w:pPr>
              <w:spacing w:after="40"/>
            </w:pPr>
            <w:r/>
            <w:r>
              <w:rPr>
                <w:rFonts w:ascii="Calibri" w:hAnsi="Calibri"/>
                <w:color w:val="565656"/>
                <w:sz w:val="17"/>
              </w:rPr>
              <w:t>[YES / NO]</w:t>
            </w:r>
          </w:p>
        </w:tc>
        <w:tc>
          <w:tcPr>
            <w:tcW w:type="dxa" w:w="2448"/>
          </w:tcPr>
          <w:p>
            <w:pPr>
              <w:spacing w:after="40"/>
            </w:pPr>
            <w:r/>
            <w:r>
              <w:rPr>
                <w:rFonts w:ascii="Calibri" w:hAnsi="Calibri"/>
                <w:color w:val="565656"/>
                <w:sz w:val="17"/>
              </w:rPr>
              <w:t>NO is what unlocks the seventy-five per cent</w:t>
            </w:r>
          </w:p>
        </w:tc>
      </w:tr>
      <w:tr>
        <w:tc>
          <w:tcPr>
            <w:tcW w:type="dxa" w:w="3456"/>
          </w:tcPr>
          <w:p>
            <w:pPr>
              <w:spacing w:after="40"/>
            </w:pPr>
            <w:r/>
            <w:r>
              <w:rPr>
                <w:rFonts w:ascii="Calibri" w:hAnsi="Calibri"/>
                <w:color w:val="565656"/>
                <w:sz w:val="17"/>
              </w:rPr>
              <w:t>Inquiry completed on</w:t>
            </w:r>
          </w:p>
        </w:tc>
        <w:tc>
          <w:tcPr>
            <w:tcW w:type="dxa" w:w="3456"/>
          </w:tcPr>
          <w:p>
            <w:pPr>
              <w:spacing w:after="40"/>
            </w:pPr>
            <w:r/>
            <w:r>
              <w:rPr>
                <w:rFonts w:ascii="Calibri" w:hAnsi="Calibri"/>
                <w:color w:val="565656"/>
                <w:sz w:val="17"/>
              </w:rPr>
              <w:t>[DD-MMM-YYYY]</w:t>
            </w:r>
          </w:p>
        </w:tc>
        <w:tc>
          <w:tcPr>
            <w:tcW w:type="dxa" w:w="2448"/>
          </w:tcPr>
          <w:p>
            <w:pPr>
              <w:spacing w:after="40"/>
            </w:pPr>
            <w:r/>
            <w:r>
              <w:rPr>
                <w:rFonts w:ascii="Calibri" w:hAnsi="Calibri"/>
                <w:color w:val="565656"/>
                <w:sz w:val="17"/>
              </w:rPr>
              <w:t>s.38(1)</w:t>
            </w:r>
          </w:p>
        </w:tc>
      </w:tr>
    </w:tbl>
    <w:p>
      <w:pPr>
        <w:keepNext w:val="0"/>
        <w:spacing w:after="160" w:before="0"/>
      </w:pPr>
      <w:r>
        <w:rPr>
          <w:rFonts w:ascii="Calibri" w:hAnsi="Calibri"/>
          <w:b w:val="0"/>
          <w:i w:val="0"/>
          <w:color w:val="1D1D1D"/>
          <w:sz w:val="21"/>
        </w:rPr>
      </w:r>
    </w:p>
    <w:p>
      <w:pPr>
        <w:keepNext w:val="0"/>
        <w:spacing w:after="160" w:before="0"/>
        <w:ind w:left="173"/>
        <w:shd w:val="clear" w:fill="FFF6E5"/>
      </w:pPr>
      <w:r>
        <w:rPr>
          <w:rFonts w:ascii="Calibri" w:hAnsi="Calibri"/>
          <w:b w:val="0"/>
          <w:i/>
          <w:color w:val="1D1D1D"/>
          <w:sz w:val="19"/>
        </w:rPr>
        <w:t>The seventy-five per cent rate applies where the delay is NOT directly attributable to the worker's conduct. If you are past day ninety, the question is not whether to pay more, it is whose fault the delay is, and you should be able to answer it from the inquiry file.</w:t>
      </w:r>
    </w:p>
    <w:p>
      <w:r>
        <w:br w:type="page"/>
      </w:r>
    </w:p>
    <w:p>
      <w:pPr>
        <w:pStyle w:val="Heading1"/>
        <w:keepNext/>
        <w:spacing w:after="200" w:before="80"/>
        <w:ind w:left="115"/>
        <w:shd w:val="clear" w:fill="0069A4"/>
      </w:pPr>
      <w:r>
        <w:rPr>
          <w:rFonts w:ascii="Calibri" w:hAnsi="Calibri"/>
          <w:b/>
          <w:color w:val="FFFFFF"/>
          <w:sz w:val="20"/>
        </w:rPr>
        <w:t>FORMAT 09  ·  MODIFICATION APPLICATION</w:t>
      </w:r>
    </w:p>
    <w:p>
      <w:pPr>
        <w:keepNext w:val="0"/>
        <w:spacing w:after="160" w:before="0"/>
        <w:ind w:left="144"/>
        <w:shd w:val="clear" w:fill="F4FAFE"/>
      </w:pPr>
      <w:r>
        <w:rPr>
          <w:rFonts w:ascii="Calibri" w:hAnsi="Calibri"/>
          <w:b w:val="0"/>
          <w:i/>
          <w:color w:val="565656"/>
          <w:sz w:val="18"/>
        </w:rPr>
        <w:t>After six months, or at any time by agreement, with the certified copy of the agreement section 35(2) asks for.</w:t>
      </w:r>
    </w:p>
    <w:p>
      <w:pPr>
        <w:keepNext w:val="0"/>
        <w:spacing w:after="200" w:before="0"/>
      </w:pPr>
      <w:r>
        <w:rPr>
          <w:rFonts w:ascii="Calibri" w:hAnsi="Calibri"/>
          <w:b w:val="0"/>
          <w:i w:val="0"/>
          <w:color w:val="565656"/>
          <w:sz w:val="18"/>
        </w:rPr>
        <w:t>[COMPANY LETTERHEAD]</w:t>
      </w:r>
    </w:p>
    <w:p>
      <w:pPr>
        <w:keepNext w:val="0"/>
        <w:spacing w:after="160" w:before="0"/>
      </w:pPr>
      <w:r>
        <w:rPr>
          <w:rFonts w:ascii="Calibri" w:hAnsi="Calibri"/>
          <w:b w:val="0"/>
          <w:i w:val="0"/>
          <w:color w:val="1D1D1D"/>
          <w:sz w:val="19"/>
        </w:rPr>
        <w:t>Ref: [REFERENCE NO.]                    Date: [DD-MMM-YYYY]</w:t>
      </w:r>
    </w:p>
    <w:p>
      <w:pPr>
        <w:keepNext w:val="0"/>
        <w:spacing w:after="40" w:before="0"/>
      </w:pPr>
      <w:r>
        <w:rPr>
          <w:rFonts w:ascii="Calibri" w:hAnsi="Calibri"/>
          <w:b w:val="0"/>
          <w:i w:val="0"/>
          <w:color w:val="1D1D1D"/>
          <w:sz w:val="20"/>
        </w:rPr>
        <w:t>To</w:t>
      </w:r>
    </w:p>
    <w:p>
      <w:pPr>
        <w:keepNext w:val="0"/>
        <w:spacing w:after="40" w:before="0"/>
      </w:pPr>
      <w:r>
        <w:rPr>
          <w:rFonts w:ascii="Calibri" w:hAnsi="Calibri"/>
          <w:b/>
          <w:i w:val="0"/>
          <w:color w:val="1D1D1D"/>
          <w:sz w:val="20"/>
        </w:rPr>
        <w:t>The Certifying Officer</w:t>
      </w:r>
    </w:p>
    <w:p>
      <w:pPr>
        <w:keepNext w:val="0"/>
        <w:spacing w:after="200" w:before="0"/>
      </w:pPr>
      <w:r>
        <w:rPr>
          <w:rFonts w:ascii="Calibri" w:hAnsi="Calibri"/>
          <w:b w:val="0"/>
          <w:i w:val="0"/>
          <w:color w:val="565656"/>
          <w:sz w:val="20"/>
        </w:rPr>
        <w:t>[DESIGNATION AND ADDRESS]</w:t>
      </w:r>
    </w:p>
    <w:p>
      <w:pPr>
        <w:keepNext w:val="0"/>
        <w:spacing w:after="200" w:before="0"/>
      </w:pPr>
      <w:r>
        <w:rPr>
          <w:rFonts w:ascii="Calibri" w:hAnsi="Calibri"/>
          <w:b/>
          <w:i w:val="0"/>
          <w:color w:val="1D1D1D"/>
          <w:sz w:val="20"/>
        </w:rPr>
        <w:t>Subject: Application to modify certified standing orders under section 35 of the Industrial Relations Code, 2020</w:t>
      </w:r>
    </w:p>
    <w:p>
      <w:pPr>
        <w:keepNext w:val="0"/>
        <w:spacing w:after="120" w:before="0"/>
      </w:pPr>
      <w:r>
        <w:rPr>
          <w:rFonts w:ascii="Calibri" w:hAnsi="Calibri"/>
          <w:b w:val="0"/>
          <w:i w:val="0"/>
          <w:color w:val="1D1D1D"/>
          <w:sz w:val="20"/>
        </w:rPr>
        <w:t>Madam / Sir,</w:t>
      </w:r>
    </w:p>
    <w:p>
      <w:pPr>
        <w:keepNext w:val="0"/>
        <w:spacing w:after="120" w:before="0"/>
      </w:pPr>
      <w:r>
        <w:rPr>
          <w:rFonts w:ascii="Calibri" w:hAnsi="Calibri"/>
          <w:b w:val="0"/>
          <w:i w:val="0"/>
          <w:color w:val="1D1D1D"/>
          <w:sz w:val="20"/>
        </w:rPr>
        <w:t>The standing orders of [COMPANY NAME] at [ADDRESS] came into operation on [DD-MMM-YYYY]. The last modification came into operation on [DD-MMM-YYYY].</w:t>
      </w:r>
    </w:p>
    <w:p>
      <w:pPr>
        <w:keepNext w:val="0"/>
        <w:spacing w:after="120" w:before="0"/>
      </w:pPr>
      <w:r>
        <w:rPr>
          <w:rFonts w:ascii="Calibri" w:hAnsi="Calibri"/>
          <w:b w:val="0"/>
          <w:i w:val="0"/>
          <w:color w:val="1D1D1D"/>
          <w:sz w:val="20"/>
        </w:rPr>
        <w:t>[EITHER] Six months have expired since that date, and we apply under section 35(2) to modify them as set out in the enclosed draft.</w:t>
      </w:r>
    </w:p>
    <w:p>
      <w:pPr>
        <w:keepNext w:val="0"/>
        <w:spacing w:after="120" w:before="0"/>
      </w:pPr>
      <w:r>
        <w:rPr>
          <w:rFonts w:ascii="Calibri" w:hAnsi="Calibri"/>
          <w:b w:val="0"/>
          <w:i w:val="0"/>
          <w:color w:val="1D1D1D"/>
          <w:sz w:val="20"/>
        </w:rPr>
        <w:t>[OR] The modifications are proposed by agreement between [COMPANY NAME] and [THE WORKERS / TRADE UNION], and a certified copy of that agreement is enclosed as section 35(2) requires. The six month bar in section 35(1) does not apply to a modification by agreement.</w:t>
      </w:r>
    </w:p>
    <w:p>
      <w:pPr>
        <w:keepNext w:val="0"/>
        <w:spacing w:after="120" w:before="0"/>
      </w:pPr>
      <w:r>
        <w:rPr>
          <w:rFonts w:ascii="Calibri" w:hAnsi="Calibri"/>
          <w:b w:val="0"/>
          <w:i w:val="0"/>
          <w:color w:val="1D1D1D"/>
          <w:sz w:val="20"/>
        </w:rPr>
        <w:t>The provisions of the Code that apply to first-time certification apply to this application, under section 35(3).</w:t>
      </w:r>
    </w:p>
    <w:p>
      <w:pPr>
        <w:keepNext w:val="0"/>
        <w:spacing w:after="120" w:before="0"/>
      </w:pPr>
      <w:r>
        <w:rPr>
          <w:rFonts w:ascii="Calibri" w:hAnsi="Calibri"/>
          <w:b w:val="0"/>
          <w:i w:val="0"/>
          <w:color w:val="1D1D1D"/>
          <w:sz w:val="20"/>
        </w:rPr>
        <w:t>The tabular statement rule 18(2) requires is below, with the details of the registered Trade Unions operating in this establishment: [NAMES, REGISTRATION NUMBERS].</w:t>
      </w:r>
    </w:p>
    <w:p>
      <w:pPr>
        <w:keepNext w:val="0"/>
        <w:spacing w:after="120" w:before="0"/>
      </w:pPr>
      <w:r>
        <w:rPr>
          <w:rFonts w:ascii="Calibri" w:hAnsi="Calibri"/>
          <w:b w:val="0"/>
          <w:i w:val="0"/>
          <w:color w:val="1D1D1D"/>
          <w:sz w:val="21"/>
        </w:rPr>
      </w:r>
    </w:p>
    <w:tbl>
      <w:tblPr>
        <w:tblStyle w:val="TableGrid"/>
        <w:tblW w:type="auto" w:w="0"/>
        <w:tblLook w:firstColumn="1" w:firstRow="1" w:lastColumn="0" w:lastRow="0" w:noHBand="0" w:noVBand="1" w:val="04A0"/>
      </w:tblPr>
      <w:tblGrid>
        <w:gridCol w:w="2412"/>
        <w:gridCol w:w="2412"/>
        <w:gridCol w:w="2412"/>
        <w:gridCol w:w="2412"/>
      </w:tblGrid>
      <w:tr>
        <w:tc>
          <w:tcPr>
            <w:tcW w:type="dxa" w:w="864"/>
          </w:tcPr>
          <w:p>
            <w:pPr>
              <w:spacing w:after="40"/>
              <w:shd w:val="clear" w:fill="E8F4FC"/>
            </w:pPr>
            <w:r/>
            <w:r>
              <w:rPr>
                <w:rFonts w:ascii="Calibri" w:hAnsi="Calibri"/>
                <w:b/>
                <w:color w:val="0069A4"/>
                <w:sz w:val="16"/>
              </w:rPr>
              <w:t>Clause</w:t>
            </w:r>
          </w:p>
        </w:tc>
        <w:tc>
          <w:tcPr>
            <w:tcW w:type="dxa" w:w="3024"/>
          </w:tcPr>
          <w:p>
            <w:pPr>
              <w:spacing w:after="40"/>
              <w:shd w:val="clear" w:fill="E8F4FC"/>
            </w:pPr>
            <w:r/>
            <w:r>
              <w:rPr>
                <w:rFonts w:ascii="Calibri" w:hAnsi="Calibri"/>
                <w:b/>
                <w:color w:val="0069A4"/>
                <w:sz w:val="16"/>
              </w:rPr>
              <w:t>The provision in force</w:t>
            </w:r>
          </w:p>
        </w:tc>
        <w:tc>
          <w:tcPr>
            <w:tcW w:type="dxa" w:w="3024"/>
          </w:tcPr>
          <w:p>
            <w:pPr>
              <w:spacing w:after="40"/>
              <w:shd w:val="clear" w:fill="E8F4FC"/>
            </w:pPr>
            <w:r/>
            <w:r>
              <w:rPr>
                <w:rFonts w:ascii="Calibri" w:hAnsi="Calibri"/>
                <w:b/>
                <w:color w:val="0069A4"/>
                <w:sz w:val="16"/>
              </w:rPr>
              <w:t>Proposed modification</w:t>
            </w:r>
          </w:p>
        </w:tc>
        <w:tc>
          <w:tcPr>
            <w:tcW w:type="dxa" w:w="2448"/>
          </w:tcPr>
          <w:p>
            <w:pPr>
              <w:spacing w:after="40"/>
              <w:shd w:val="clear" w:fill="E8F4FC"/>
            </w:pPr>
            <w:r/>
            <w:r>
              <w:rPr>
                <w:rFonts w:ascii="Calibri" w:hAnsi="Calibri"/>
                <w:b/>
                <w:color w:val="0069A4"/>
                <w:sz w:val="16"/>
              </w:rPr>
              <w:t>Reasons</w:t>
            </w:r>
          </w:p>
        </w:tc>
      </w:tr>
      <w:tr>
        <w:tc>
          <w:tcPr>
            <w:tcW w:type="dxa" w:w="864"/>
          </w:tcPr>
          <w:p>
            <w:pPr>
              <w:spacing w:after="40"/>
            </w:pPr>
            <w:r/>
            <w:r>
              <w:rPr>
                <w:rFonts w:ascii="Calibri" w:hAnsi="Calibri"/>
                <w:color w:val="565656"/>
                <w:sz w:val="16"/>
              </w:rPr>
              <w:t>[N]</w:t>
            </w:r>
          </w:p>
        </w:tc>
        <w:tc>
          <w:tcPr>
            <w:tcW w:type="dxa" w:w="3024"/>
          </w:tcPr>
          <w:p>
            <w:pPr>
              <w:spacing w:after="40"/>
            </w:pPr>
            <w:r/>
            <w:r>
              <w:rPr>
                <w:rFonts w:ascii="Calibri" w:hAnsi="Calibri"/>
                <w:color w:val="565656"/>
                <w:sz w:val="16"/>
              </w:rPr>
              <w:t>[TEXT AS IT STANDS]</w:t>
            </w:r>
          </w:p>
        </w:tc>
        <w:tc>
          <w:tcPr>
            <w:tcW w:type="dxa" w:w="3024"/>
          </w:tcPr>
          <w:p>
            <w:pPr>
              <w:spacing w:after="40"/>
            </w:pPr>
            <w:r/>
            <w:r>
              <w:rPr>
                <w:rFonts w:ascii="Calibri" w:hAnsi="Calibri"/>
                <w:color w:val="565656"/>
                <w:sz w:val="16"/>
              </w:rPr>
              <w:t>[TEXT AS PROPOSED]</w:t>
            </w:r>
          </w:p>
        </w:tc>
        <w:tc>
          <w:tcPr>
            <w:tcW w:type="dxa" w:w="2448"/>
          </w:tcPr>
          <w:p>
            <w:pPr>
              <w:spacing w:after="40"/>
            </w:pPr>
            <w:r/>
            <w:r>
              <w:rPr>
                <w:rFonts w:ascii="Calibri" w:hAnsi="Calibri"/>
                <w:color w:val="565656"/>
                <w:sz w:val="16"/>
              </w:rPr>
              <w:t>[WHY]</w:t>
            </w:r>
          </w:p>
        </w:tc>
      </w:tr>
      <w:tr>
        <w:tc>
          <w:tcPr>
            <w:tcW w:type="dxa" w:w="864"/>
          </w:tcPr>
          <w:p>
            <w:pPr>
              <w:spacing w:after="40"/>
            </w:pPr>
            <w:r/>
            <w:r>
              <w:rPr>
                <w:rFonts w:ascii="Calibri" w:hAnsi="Calibri"/>
                <w:color w:val="565656"/>
                <w:sz w:val="16"/>
              </w:rPr>
              <w:t>[N]</w:t>
            </w:r>
          </w:p>
        </w:tc>
        <w:tc>
          <w:tcPr>
            <w:tcW w:type="dxa" w:w="3024"/>
          </w:tcPr>
          <w:p>
            <w:pPr>
              <w:spacing w:after="40"/>
            </w:pPr>
            <w:r/>
            <w:r>
              <w:rPr>
                <w:rFonts w:ascii="Calibri" w:hAnsi="Calibri"/>
                <w:color w:val="565656"/>
                <w:sz w:val="16"/>
              </w:rPr>
              <w:t>[TEXT AS IT STANDS]</w:t>
            </w:r>
          </w:p>
        </w:tc>
        <w:tc>
          <w:tcPr>
            <w:tcW w:type="dxa" w:w="3024"/>
          </w:tcPr>
          <w:p>
            <w:pPr>
              <w:spacing w:after="40"/>
            </w:pPr>
            <w:r/>
            <w:r>
              <w:rPr>
                <w:rFonts w:ascii="Calibri" w:hAnsi="Calibri"/>
                <w:color w:val="565656"/>
                <w:sz w:val="16"/>
              </w:rPr>
              <w:t>[TEXT AS PROPOSED]</w:t>
            </w:r>
          </w:p>
        </w:tc>
        <w:tc>
          <w:tcPr>
            <w:tcW w:type="dxa" w:w="2448"/>
          </w:tcPr>
          <w:p>
            <w:pPr>
              <w:spacing w:after="40"/>
            </w:pPr>
            <w:r/>
            <w:r>
              <w:rPr>
                <w:rFonts w:ascii="Calibri" w:hAnsi="Calibri"/>
                <w:color w:val="565656"/>
                <w:sz w:val="16"/>
              </w:rPr>
              <w:t>[WHY]</w:t>
            </w:r>
          </w:p>
        </w:tc>
      </w:tr>
      <w:tr>
        <w:tc>
          <w:tcPr>
            <w:tcW w:type="dxa" w:w="864"/>
          </w:tcPr>
          <w:p>
            <w:pPr>
              <w:spacing w:after="40"/>
            </w:pPr>
            <w:r/>
            <w:r>
              <w:rPr>
                <w:rFonts w:ascii="Calibri" w:hAnsi="Calibri"/>
                <w:color w:val="565656"/>
                <w:sz w:val="16"/>
              </w:rPr>
              <w:t>[N]</w:t>
            </w:r>
          </w:p>
        </w:tc>
        <w:tc>
          <w:tcPr>
            <w:tcW w:type="dxa" w:w="3024"/>
          </w:tcPr>
          <w:p>
            <w:pPr>
              <w:spacing w:after="40"/>
            </w:pPr>
            <w:r/>
            <w:r>
              <w:rPr>
                <w:rFonts w:ascii="Calibri" w:hAnsi="Calibri"/>
                <w:color w:val="565656"/>
                <w:sz w:val="16"/>
              </w:rPr>
              <w:t>[TEXT AS IT STANDS]</w:t>
            </w:r>
          </w:p>
        </w:tc>
        <w:tc>
          <w:tcPr>
            <w:tcW w:type="dxa" w:w="3024"/>
          </w:tcPr>
          <w:p>
            <w:pPr>
              <w:spacing w:after="40"/>
            </w:pPr>
            <w:r/>
            <w:r>
              <w:rPr>
                <w:rFonts w:ascii="Calibri" w:hAnsi="Calibri"/>
                <w:color w:val="565656"/>
                <w:sz w:val="16"/>
              </w:rPr>
              <w:t>[TEXT AS PROPOSED]</w:t>
            </w:r>
          </w:p>
        </w:tc>
        <w:tc>
          <w:tcPr>
            <w:tcW w:type="dxa" w:w="2448"/>
          </w:tcPr>
          <w:p>
            <w:pPr>
              <w:spacing w:after="40"/>
            </w:pPr>
            <w:r/>
            <w:r>
              <w:rPr>
                <w:rFonts w:ascii="Calibri" w:hAnsi="Calibri"/>
                <w:color w:val="565656"/>
                <w:sz w:val="16"/>
              </w:rPr>
              <w:t>[WHY]</w:t>
            </w:r>
          </w:p>
        </w:tc>
      </w:tr>
      <w:tr>
        <w:tc>
          <w:tcPr>
            <w:tcW w:type="dxa" w:w="864"/>
          </w:tcPr>
          <w:p>
            <w:pPr>
              <w:spacing w:after="40"/>
            </w:pPr>
            <w:r/>
            <w:r>
              <w:rPr>
                <w:rFonts w:ascii="Calibri" w:hAnsi="Calibri"/>
                <w:color w:val="565656"/>
                <w:sz w:val="16"/>
              </w:rPr>
              <w:t>[N]</w:t>
            </w:r>
          </w:p>
        </w:tc>
        <w:tc>
          <w:tcPr>
            <w:tcW w:type="dxa" w:w="3024"/>
          </w:tcPr>
          <w:p>
            <w:pPr>
              <w:spacing w:after="40"/>
            </w:pPr>
            <w:r/>
            <w:r>
              <w:rPr>
                <w:rFonts w:ascii="Calibri" w:hAnsi="Calibri"/>
                <w:color w:val="565656"/>
                <w:sz w:val="16"/>
              </w:rPr>
              <w:t>[TEXT AS IT STANDS]</w:t>
            </w:r>
          </w:p>
        </w:tc>
        <w:tc>
          <w:tcPr>
            <w:tcW w:type="dxa" w:w="3024"/>
          </w:tcPr>
          <w:p>
            <w:pPr>
              <w:spacing w:after="40"/>
            </w:pPr>
            <w:r/>
            <w:r>
              <w:rPr>
                <w:rFonts w:ascii="Calibri" w:hAnsi="Calibri"/>
                <w:color w:val="565656"/>
                <w:sz w:val="16"/>
              </w:rPr>
              <w:t>[TEXT AS PROPOSED]</w:t>
            </w:r>
          </w:p>
        </w:tc>
        <w:tc>
          <w:tcPr>
            <w:tcW w:type="dxa" w:w="2448"/>
          </w:tcPr>
          <w:p>
            <w:pPr>
              <w:spacing w:after="40"/>
            </w:pPr>
            <w:r/>
            <w:r>
              <w:rPr>
                <w:rFonts w:ascii="Calibri" w:hAnsi="Calibri"/>
                <w:color w:val="565656"/>
                <w:sz w:val="16"/>
              </w:rPr>
              <w:t>[WHY]</w:t>
            </w:r>
          </w:p>
        </w:tc>
      </w:tr>
    </w:tbl>
    <w:p>
      <w:pPr>
        <w:keepNext w:val="0"/>
        <w:spacing w:after="160" w:before="0"/>
      </w:pPr>
      <w:r>
        <w:rPr>
          <w:rFonts w:ascii="Calibri" w:hAnsi="Calibri"/>
          <w:b w:val="0"/>
          <w:i w:val="0"/>
          <w:color w:val="1D1D1D"/>
          <w:sz w:val="21"/>
        </w:rPr>
      </w:r>
    </w:p>
    <w:p>
      <w:pPr>
        <w:keepNext w:val="0"/>
        <w:spacing w:after="160" w:before="0"/>
      </w:pPr>
      <w:r>
        <w:rPr>
          <w:rFonts w:ascii="Calibri" w:hAnsi="Calibri"/>
          <w:b w:val="0"/>
          <w:i/>
          <w:color w:val="565656"/>
          <w:sz w:val="19"/>
        </w:rPr>
        <w:t>Rule 18(2) asks for exactly this table, and rule 18(3) for the signature of a person authorised by whoever is applying, which may be the employer, the workers, a Trade Union or another representative body. Submit electronically, in person or by speed post under rule 18(1).</w:t>
      </w:r>
    </w:p>
    <w:p>
      <w:pPr>
        <w:keepNext w:val="0"/>
        <w:spacing w:after="120" w:before="0"/>
      </w:pPr>
      <w:r>
        <w:rPr>
          <w:rFonts w:ascii="Calibri" w:hAnsi="Calibri"/>
          <w:b w:val="0"/>
          <w:i w:val="0"/>
          <w:color w:val="1D1D1D"/>
          <w:sz w:val="21"/>
        </w:rPr>
      </w:r>
    </w:p>
    <w:p>
      <w:pPr>
        <w:keepNext w:val="0"/>
        <w:spacing w:after="320" w:before="0"/>
      </w:pPr>
      <w:r>
        <w:rPr>
          <w:rFonts w:ascii="Calibri" w:hAnsi="Calibri"/>
          <w:b w:val="0"/>
          <w:i w:val="0"/>
          <w:color w:val="1D1D1D"/>
          <w:sz w:val="20"/>
        </w:rPr>
        <w:t>For [COMPANY NAME]</w:t>
      </w:r>
    </w:p>
    <w:p>
      <w:pPr>
        <w:keepNext w:val="0"/>
        <w:spacing w:after="200" w:before="0"/>
      </w:pPr>
      <w:r>
        <w:rPr>
          <w:rFonts w:ascii="Calibri" w:hAnsi="Calibri"/>
          <w:b/>
          <w:i w:val="0"/>
          <w:color w:val="1D1D1D"/>
          <w:sz w:val="20"/>
        </w:rPr>
        <w:t>[NAME], [DESIGNATION]</w:t>
      </w:r>
    </w:p>
    <w:p>
      <w:r>
        <w:br w:type="page"/>
      </w:r>
    </w:p>
    <w:p>
      <w:pPr>
        <w:pStyle w:val="Heading1"/>
        <w:keepNext/>
        <w:spacing w:after="200" w:before="80"/>
        <w:ind w:left="115"/>
        <w:shd w:val="clear" w:fill="0069A4"/>
      </w:pPr>
      <w:r>
        <w:rPr>
          <w:rFonts w:ascii="Calibri" w:hAnsi="Calibri"/>
          <w:b/>
          <w:color w:val="FFFFFF"/>
          <w:sz w:val="20"/>
        </w:rPr>
        <w:t>FORMAT 10  ·  CERTIFICATION TRACKER</w:t>
      </w:r>
    </w:p>
    <w:p>
      <w:pPr>
        <w:keepNext w:val="0"/>
        <w:spacing w:after="160" w:before="0"/>
        <w:ind w:left="144"/>
        <w:shd w:val="clear" w:fill="F4FAFE"/>
      </w:pPr>
      <w:r>
        <w:rPr>
          <w:rFonts w:ascii="Calibri" w:hAnsi="Calibri"/>
          <w:b w:val="0"/>
          <w:i/>
          <w:color w:val="565656"/>
          <w:sz w:val="18"/>
        </w:rPr>
        <w:t>Every clock in Chapter IV on one page, split by route: the thirty days the certifying officer has to object to an adoption, and the sixty after which a draft is deemed certified by default.</w:t>
      </w:r>
    </w:p>
    <w:p>
      <w:pPr>
        <w:keepNext w:val="0"/>
        <w:spacing w:after="120" w:before="0"/>
      </w:pPr>
      <w:r>
        <w:rPr>
          <w:rFonts w:ascii="Calibri" w:hAnsi="Calibri"/>
          <w:b/>
          <w:i w:val="0"/>
          <w:color w:val="1D1D1D"/>
          <w:sz w:val="26"/>
        </w:rPr>
        <w:t>CERTIFICATION TRACKER</w:t>
      </w:r>
    </w:p>
    <w:p>
      <w:pPr>
        <w:keepNext w:val="0"/>
        <w:spacing w:after="120" w:before="0"/>
      </w:pPr>
      <w:r>
        <w:rPr>
          <w:rFonts w:ascii="Calibri" w:hAnsi="Calibri"/>
          <w:b w:val="0"/>
          <w:i w:val="0"/>
          <w:color w:val="565656"/>
          <w:sz w:val="18"/>
        </w:rPr>
        <w:t>ROUTE A  ·  YOU ADOPTED THE MODEL STANDING ORDERS. The shorter road, and the one section 3 recommends for most establishments. Rule references are the CENTRAL rules; outside the central sphere read your State’s equivalents.</w:t>
      </w:r>
    </w:p>
    <w:tbl>
      <w:tblPr>
        <w:tblStyle w:val="TableGrid"/>
        <w:tblW w:type="auto" w:w="0"/>
        <w:tblLook w:firstColumn="1" w:firstRow="1" w:lastColumn="0" w:lastRow="0" w:noHBand="0" w:noVBand="1" w:val="04A0"/>
      </w:tblPr>
      <w:tblGrid>
        <w:gridCol w:w="2412"/>
        <w:gridCol w:w="2412"/>
        <w:gridCol w:w="2412"/>
        <w:gridCol w:w="2412"/>
      </w:tblGrid>
      <w:tr>
        <w:tc>
          <w:tcPr>
            <w:tcW w:type="dxa" w:w="3456"/>
          </w:tcPr>
          <w:p>
            <w:pPr>
              <w:spacing w:after="40"/>
              <w:shd w:val="clear" w:fill="E8F4FC"/>
            </w:pPr>
            <w:r/>
            <w:r>
              <w:rPr>
                <w:rFonts w:ascii="Calibri" w:hAnsi="Calibri"/>
                <w:b/>
                <w:color w:val="0069A4"/>
                <w:sz w:val="17"/>
              </w:rPr>
              <w:t>Step</w:t>
            </w:r>
          </w:p>
        </w:tc>
        <w:tc>
          <w:tcPr>
            <w:tcW w:type="dxa" w:w="1872"/>
          </w:tcPr>
          <w:p>
            <w:pPr>
              <w:spacing w:after="40"/>
              <w:shd w:val="clear" w:fill="E8F4FC"/>
            </w:pPr>
            <w:r/>
            <w:r>
              <w:rPr>
                <w:rFonts w:ascii="Calibri" w:hAnsi="Calibri"/>
                <w:b/>
                <w:color w:val="0069A4"/>
                <w:sz w:val="17"/>
              </w:rPr>
              <w:t>Provision</w:t>
            </w:r>
          </w:p>
        </w:tc>
        <w:tc>
          <w:tcPr>
            <w:tcW w:type="dxa" w:w="2304"/>
          </w:tcPr>
          <w:p>
            <w:pPr>
              <w:spacing w:after="40"/>
              <w:shd w:val="clear" w:fill="E8F4FC"/>
            </w:pPr>
            <w:r/>
            <w:r>
              <w:rPr>
                <w:rFonts w:ascii="Calibri" w:hAnsi="Calibri"/>
                <w:b/>
                <w:color w:val="0069A4"/>
                <w:sz w:val="17"/>
              </w:rPr>
              <w:t>Due</w:t>
            </w:r>
          </w:p>
        </w:tc>
        <w:tc>
          <w:tcPr>
            <w:tcW w:type="dxa" w:w="1728"/>
          </w:tcPr>
          <w:p>
            <w:pPr>
              <w:spacing w:after="40"/>
              <w:shd w:val="clear" w:fill="E8F4FC"/>
            </w:pPr>
            <w:r/>
            <w:r>
              <w:rPr>
                <w:rFonts w:ascii="Calibri" w:hAnsi="Calibri"/>
                <w:b/>
                <w:color w:val="0069A4"/>
                <w:sz w:val="17"/>
              </w:rPr>
              <w:t>Done on</w:t>
            </w:r>
          </w:p>
        </w:tc>
      </w:tr>
      <w:tr>
        <w:tc>
          <w:tcPr>
            <w:tcW w:type="dxa" w:w="3456"/>
          </w:tcPr>
          <w:p>
            <w:pPr>
              <w:spacing w:after="40"/>
            </w:pPr>
            <w:r/>
            <w:r>
              <w:rPr>
                <w:rFonts w:ascii="Calibri" w:hAnsi="Calibri"/>
                <w:color w:val="565656"/>
                <w:sz w:val="17"/>
              </w:rPr>
              <w:t>Model Standing Orders adopted</w:t>
            </w:r>
          </w:p>
        </w:tc>
        <w:tc>
          <w:tcPr>
            <w:tcW w:type="dxa" w:w="1872"/>
          </w:tcPr>
          <w:p>
            <w:pPr>
              <w:spacing w:after="40"/>
            </w:pPr>
            <w:r/>
            <w:r>
              <w:rPr>
                <w:rFonts w:ascii="Calibri" w:hAnsi="Calibri"/>
                <w:color w:val="565656"/>
                <w:sz w:val="17"/>
              </w:rPr>
              <w:t>s.30(3)</w:t>
            </w:r>
          </w:p>
        </w:tc>
        <w:tc>
          <w:tcPr>
            <w:tcW w:type="dxa" w:w="2304"/>
          </w:tcPr>
          <w:p>
            <w:pPr>
              <w:spacing w:after="40"/>
            </w:pPr>
            <w:r/>
            <w:r>
              <w:rPr>
                <w:rFonts w:ascii="Calibri" w:hAnsi="Calibri"/>
                <w:color w:val="565656"/>
                <w:sz w:val="17"/>
              </w:rPr>
              <w:t>the date you adopt</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Certifying officer informed of that DATE</w:t>
            </w:r>
          </w:p>
        </w:tc>
        <w:tc>
          <w:tcPr>
            <w:tcW w:type="dxa" w:w="1872"/>
          </w:tcPr>
          <w:p>
            <w:pPr>
              <w:spacing w:after="40"/>
            </w:pPr>
            <w:r/>
            <w:r>
              <w:rPr>
                <w:rFonts w:ascii="Calibri" w:hAnsi="Calibri"/>
                <w:color w:val="565656"/>
                <w:sz w:val="17"/>
              </w:rPr>
              <w:t>rule 10(1)</w:t>
            </w:r>
          </w:p>
        </w:tc>
        <w:tc>
          <w:tcPr>
            <w:tcW w:type="dxa" w:w="2304"/>
          </w:tcPr>
          <w:p>
            <w:pPr>
              <w:spacing w:after="40"/>
            </w:pPr>
            <w:r/>
            <w:r>
              <w:rPr>
                <w:rFonts w:ascii="Calibri" w:hAnsi="Calibri"/>
                <w:color w:val="565656"/>
                <w:sz w:val="17"/>
              </w:rPr>
              <w:t>electronically, in person or speed post</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Orders IN FORCE from the adoption date, no waiting</w:t>
            </w:r>
          </w:p>
        </w:tc>
        <w:tc>
          <w:tcPr>
            <w:tcW w:type="dxa" w:w="1872"/>
          </w:tcPr>
          <w:p>
            <w:pPr>
              <w:spacing w:after="40"/>
            </w:pPr>
            <w:r/>
            <w:r>
              <w:rPr>
                <w:rFonts w:ascii="Calibri" w:hAnsi="Calibri"/>
                <w:color w:val="565656"/>
                <w:sz w:val="17"/>
              </w:rPr>
              <w:t>rule 10(6)</w:t>
            </w:r>
          </w:p>
        </w:tc>
        <w:tc>
          <w:tcPr>
            <w:tcW w:type="dxa" w:w="2304"/>
          </w:tcPr>
          <w:p>
            <w:pPr>
              <w:spacing w:after="40"/>
            </w:pPr>
            <w:r/>
            <w:r>
              <w:rPr>
                <w:rFonts w:ascii="Calibri" w:hAnsi="Calibri"/>
                <w:color w:val="565656"/>
                <w:sz w:val="17"/>
              </w:rPr>
              <w:t>same date as above</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Thirty days for the officer to raise an observation</w:t>
            </w:r>
          </w:p>
        </w:tc>
        <w:tc>
          <w:tcPr>
            <w:tcW w:type="dxa" w:w="1872"/>
          </w:tcPr>
          <w:p>
            <w:pPr>
              <w:spacing w:after="40"/>
            </w:pPr>
            <w:r/>
            <w:r>
              <w:rPr>
                <w:rFonts w:ascii="Calibri" w:hAnsi="Calibri"/>
                <w:color w:val="565656"/>
                <w:sz w:val="17"/>
              </w:rPr>
              <w:t>rule 10(5)</w:t>
            </w:r>
          </w:p>
        </w:tc>
        <w:tc>
          <w:tcPr>
            <w:tcW w:type="dxa" w:w="2304"/>
          </w:tcPr>
          <w:p>
            <w:pPr>
              <w:spacing w:after="40"/>
            </w:pPr>
            <w:r/>
            <w:r>
              <w:rPr>
                <w:rFonts w:ascii="Calibri" w:hAnsi="Calibri"/>
                <w:color w:val="565656"/>
                <w:sz w:val="17"/>
              </w:rPr>
              <w:t>[DD-MMM-YYYY]</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If he directs inclusion: comply and send a compliance report</w:t>
            </w:r>
          </w:p>
        </w:tc>
        <w:tc>
          <w:tcPr>
            <w:tcW w:type="dxa" w:w="1872"/>
          </w:tcPr>
          <w:p>
            <w:pPr>
              <w:spacing w:after="40"/>
            </w:pPr>
            <w:r/>
            <w:r>
              <w:rPr>
                <w:rFonts w:ascii="Calibri" w:hAnsi="Calibri"/>
                <w:color w:val="565656"/>
                <w:sz w:val="17"/>
              </w:rPr>
              <w:t>rule 10(4)</w:t>
            </w:r>
          </w:p>
        </w:tc>
        <w:tc>
          <w:tcPr>
            <w:tcW w:type="dxa" w:w="2304"/>
          </w:tcPr>
          <w:p>
            <w:pPr>
              <w:spacing w:after="40"/>
            </w:pPr>
            <w:r/>
            <w:r>
              <w:rPr>
                <w:rFonts w:ascii="Calibri" w:hAnsi="Calibri"/>
                <w:color w:val="565656"/>
                <w:sz w:val="17"/>
              </w:rPr>
              <w:t>30 days from the direction</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No authentication step on this route</w:t>
            </w:r>
          </w:p>
        </w:tc>
        <w:tc>
          <w:tcPr>
            <w:tcW w:type="dxa" w:w="1872"/>
          </w:tcPr>
          <w:p>
            <w:pPr>
              <w:spacing w:after="40"/>
            </w:pPr>
            <w:r/>
            <w:r>
              <w:rPr>
                <w:rFonts w:ascii="Calibri" w:hAnsi="Calibri"/>
                <w:color w:val="565656"/>
                <w:sz w:val="17"/>
              </w:rPr>
              <w:t>rule 12 proviso</w:t>
            </w:r>
          </w:p>
        </w:tc>
        <w:tc>
          <w:tcPr>
            <w:tcW w:type="dxa" w:w="2304"/>
          </w:tcPr>
          <w:p>
            <w:pPr>
              <w:spacing w:after="40"/>
            </w:pPr>
            <w:r/>
            <w:r>
              <w:rPr>
                <w:rFonts w:ascii="Calibri" w:hAnsi="Calibri"/>
                <w:color w:val="565656"/>
                <w:sz w:val="17"/>
              </w:rPr>
              <w:t>n/a</w:t>
            </w:r>
          </w:p>
        </w:tc>
        <w:tc>
          <w:tcPr>
            <w:tcW w:type="dxa" w:w="1728"/>
          </w:tcPr>
          <w:p>
            <w:pPr>
              <w:spacing w:after="40"/>
            </w:pPr>
            <w:r/>
            <w:r>
              <w:rPr>
                <w:rFonts w:ascii="Calibri" w:hAnsi="Calibri"/>
                <w:color w:val="565656"/>
                <w:sz w:val="17"/>
              </w:rPr>
              <w:t>n/a</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val="0"/>
          <w:color w:val="565656"/>
          <w:sz w:val="18"/>
        </w:rPr>
        <w:t>ROUTE B  ·  YOU DRAFTED YOUR OWN. Longer, and only worth it where the model genuinely does not fit.</w:t>
      </w:r>
    </w:p>
    <w:tbl>
      <w:tblPr>
        <w:tblStyle w:val="TableGrid"/>
        <w:tblW w:type="auto" w:w="0"/>
        <w:tblLook w:firstColumn="1" w:firstRow="1" w:lastColumn="0" w:lastRow="0" w:noHBand="0" w:noVBand="1" w:val="04A0"/>
      </w:tblPr>
      <w:tblGrid>
        <w:gridCol w:w="2412"/>
        <w:gridCol w:w="2412"/>
        <w:gridCol w:w="2412"/>
        <w:gridCol w:w="2412"/>
      </w:tblGrid>
      <w:tr>
        <w:tc>
          <w:tcPr>
            <w:tcW w:type="dxa" w:w="3456"/>
          </w:tcPr>
          <w:p>
            <w:pPr>
              <w:spacing w:after="40"/>
              <w:shd w:val="clear" w:fill="E8F4FC"/>
            </w:pPr>
            <w:r/>
            <w:r>
              <w:rPr>
                <w:rFonts w:ascii="Calibri" w:hAnsi="Calibri"/>
                <w:b/>
                <w:color w:val="0069A4"/>
                <w:sz w:val="17"/>
              </w:rPr>
              <w:t>Step</w:t>
            </w:r>
          </w:p>
        </w:tc>
        <w:tc>
          <w:tcPr>
            <w:tcW w:type="dxa" w:w="1872"/>
          </w:tcPr>
          <w:p>
            <w:pPr>
              <w:spacing w:after="40"/>
              <w:shd w:val="clear" w:fill="E8F4FC"/>
            </w:pPr>
            <w:r/>
            <w:r>
              <w:rPr>
                <w:rFonts w:ascii="Calibri" w:hAnsi="Calibri"/>
                <w:b/>
                <w:color w:val="0069A4"/>
                <w:sz w:val="17"/>
              </w:rPr>
              <w:t>Provision</w:t>
            </w:r>
          </w:p>
        </w:tc>
        <w:tc>
          <w:tcPr>
            <w:tcW w:type="dxa" w:w="2304"/>
          </w:tcPr>
          <w:p>
            <w:pPr>
              <w:spacing w:after="40"/>
              <w:shd w:val="clear" w:fill="E8F4FC"/>
            </w:pPr>
            <w:r/>
            <w:r>
              <w:rPr>
                <w:rFonts w:ascii="Calibri" w:hAnsi="Calibri"/>
                <w:b/>
                <w:color w:val="0069A4"/>
                <w:sz w:val="17"/>
              </w:rPr>
              <w:t>Due</w:t>
            </w:r>
          </w:p>
        </w:tc>
        <w:tc>
          <w:tcPr>
            <w:tcW w:type="dxa" w:w="1728"/>
          </w:tcPr>
          <w:p>
            <w:pPr>
              <w:spacing w:after="40"/>
              <w:shd w:val="clear" w:fill="E8F4FC"/>
            </w:pPr>
            <w:r/>
            <w:r>
              <w:rPr>
                <w:rFonts w:ascii="Calibri" w:hAnsi="Calibri"/>
                <w:b/>
                <w:color w:val="0069A4"/>
                <w:sz w:val="17"/>
              </w:rPr>
              <w:t>Done on</w:t>
            </w:r>
          </w:p>
        </w:tc>
      </w:tr>
      <w:tr>
        <w:tc>
          <w:tcPr>
            <w:tcW w:type="dxa" w:w="3456"/>
          </w:tcPr>
          <w:p>
            <w:pPr>
              <w:spacing w:after="40"/>
            </w:pPr>
            <w:r/>
            <w:r>
              <w:rPr>
                <w:rFonts w:ascii="Calibri" w:hAnsi="Calibri"/>
                <w:color w:val="565656"/>
                <w:sz w:val="17"/>
              </w:rPr>
              <w:t>Draft prepared</w:t>
            </w:r>
          </w:p>
        </w:tc>
        <w:tc>
          <w:tcPr>
            <w:tcW w:type="dxa" w:w="1872"/>
          </w:tcPr>
          <w:p>
            <w:pPr>
              <w:spacing w:after="40"/>
            </w:pPr>
            <w:r/>
            <w:r>
              <w:rPr>
                <w:rFonts w:ascii="Calibri" w:hAnsi="Calibri"/>
                <w:color w:val="565656"/>
                <w:sz w:val="17"/>
              </w:rPr>
              <w:t>s.30(1)</w:t>
            </w:r>
          </w:p>
        </w:tc>
        <w:tc>
          <w:tcPr>
            <w:tcW w:type="dxa" w:w="2304"/>
          </w:tcPr>
          <w:p>
            <w:pPr>
              <w:spacing w:after="40"/>
            </w:pPr>
            <w:r/>
            <w:r>
              <w:rPr>
                <w:rFonts w:ascii="Calibri" w:hAnsi="Calibri"/>
                <w:color w:val="565656"/>
                <w:sz w:val="17"/>
              </w:rPr>
              <w:t>[DD-MMM-YYYY]</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Union consulted</w:t>
            </w:r>
          </w:p>
        </w:tc>
        <w:tc>
          <w:tcPr>
            <w:tcW w:type="dxa" w:w="1872"/>
          </w:tcPr>
          <w:p>
            <w:pPr>
              <w:spacing w:after="40"/>
            </w:pPr>
            <w:r/>
            <w:r>
              <w:rPr>
                <w:rFonts w:ascii="Calibri" w:hAnsi="Calibri"/>
                <w:color w:val="565656"/>
                <w:sz w:val="17"/>
              </w:rPr>
              <w:t>s.30(2)</w:t>
            </w:r>
          </w:p>
        </w:tc>
        <w:tc>
          <w:tcPr>
            <w:tcW w:type="dxa" w:w="2304"/>
          </w:tcPr>
          <w:p>
            <w:pPr>
              <w:spacing w:after="40"/>
            </w:pPr>
            <w:r/>
            <w:r>
              <w:rPr>
                <w:rFonts w:ascii="Calibri" w:hAnsi="Calibri"/>
                <w:color w:val="565656"/>
                <w:sz w:val="17"/>
              </w:rPr>
              <w:t>before forwarding</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Draft forwarded with particulars</w:t>
            </w:r>
          </w:p>
        </w:tc>
        <w:tc>
          <w:tcPr>
            <w:tcW w:type="dxa" w:w="1872"/>
          </w:tcPr>
          <w:p>
            <w:pPr>
              <w:spacing w:after="40"/>
            </w:pPr>
            <w:r/>
            <w:r>
              <w:rPr>
                <w:rFonts w:ascii="Calibri" w:hAnsi="Calibri"/>
                <w:color w:val="565656"/>
                <w:sz w:val="17"/>
              </w:rPr>
              <w:t>s.30(2), 30(9)</w:t>
            </w:r>
          </w:p>
        </w:tc>
        <w:tc>
          <w:tcPr>
            <w:tcW w:type="dxa" w:w="2304"/>
          </w:tcPr>
          <w:p>
            <w:pPr>
              <w:spacing w:after="40"/>
            </w:pPr>
            <w:r/>
            <w:r>
              <w:rPr>
                <w:rFonts w:ascii="Calibri" w:hAnsi="Calibri"/>
                <w:color w:val="565656"/>
                <w:sz w:val="17"/>
              </w:rPr>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Sixty days from receipt: DEEMED CERTIFIED if no order</w:t>
            </w:r>
          </w:p>
        </w:tc>
        <w:tc>
          <w:tcPr>
            <w:tcW w:type="dxa" w:w="1872"/>
          </w:tcPr>
          <w:p>
            <w:pPr>
              <w:spacing w:after="40"/>
            </w:pPr>
            <w:r/>
            <w:r>
              <w:rPr>
                <w:rFonts w:ascii="Calibri" w:hAnsi="Calibri"/>
                <w:color w:val="565656"/>
                <w:sz w:val="17"/>
              </w:rPr>
              <w:t>s.30(5) proviso</w:t>
            </w:r>
          </w:p>
        </w:tc>
        <w:tc>
          <w:tcPr>
            <w:tcW w:type="dxa" w:w="2304"/>
          </w:tcPr>
          <w:p>
            <w:pPr>
              <w:spacing w:after="40"/>
            </w:pPr>
            <w:r/>
            <w:r>
              <w:rPr>
                <w:rFonts w:ascii="Calibri" w:hAnsi="Calibri"/>
                <w:color w:val="565656"/>
                <w:sz w:val="17"/>
              </w:rPr>
              <w:t>[DD-MMM-YYYY]</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Authenticated copies received</w:t>
            </w:r>
          </w:p>
        </w:tc>
        <w:tc>
          <w:tcPr>
            <w:tcW w:type="dxa" w:w="1872"/>
          </w:tcPr>
          <w:p>
            <w:pPr>
              <w:spacing w:after="40"/>
            </w:pPr>
            <w:r/>
            <w:r>
              <w:rPr>
                <w:rFonts w:ascii="Calibri" w:hAnsi="Calibri"/>
                <w:color w:val="565656"/>
                <w:sz w:val="17"/>
              </w:rPr>
              <w:t>s.30(8)</w:t>
            </w:r>
          </w:p>
        </w:tc>
        <w:tc>
          <w:tcPr>
            <w:tcW w:type="dxa" w:w="2304"/>
          </w:tcPr>
          <w:p>
            <w:pPr>
              <w:spacing w:after="40"/>
            </w:pPr>
            <w:r/>
            <w:r>
              <w:rPr>
                <w:rFonts w:ascii="Calibri" w:hAnsi="Calibri"/>
                <w:color w:val="565656"/>
                <w:sz w:val="17"/>
              </w:rPr>
              <w:t>within 7 days of certification</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Orders come into operation</w:t>
            </w:r>
          </w:p>
        </w:tc>
        <w:tc>
          <w:tcPr>
            <w:tcW w:type="dxa" w:w="1872"/>
          </w:tcPr>
          <w:p>
            <w:pPr>
              <w:spacing w:after="40"/>
            </w:pPr>
            <w:r/>
            <w:r>
              <w:rPr>
                <w:rFonts w:ascii="Calibri" w:hAnsi="Calibri"/>
                <w:color w:val="565656"/>
                <w:sz w:val="17"/>
              </w:rPr>
              <w:t>s.33(1)</w:t>
            </w:r>
          </w:p>
        </w:tc>
        <w:tc>
          <w:tcPr>
            <w:tcW w:type="dxa" w:w="2304"/>
          </w:tcPr>
          <w:p>
            <w:pPr>
              <w:spacing w:after="40"/>
            </w:pPr>
            <w:r/>
            <w:r>
              <w:rPr>
                <w:rFonts w:ascii="Calibri" w:hAnsi="Calibri"/>
                <w:color w:val="565656"/>
                <w:sz w:val="17"/>
              </w:rPr>
              <w:t>30 days after copies sent</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If appealed, operation date</w:t>
            </w:r>
          </w:p>
        </w:tc>
        <w:tc>
          <w:tcPr>
            <w:tcW w:type="dxa" w:w="1872"/>
          </w:tcPr>
          <w:p>
            <w:pPr>
              <w:spacing w:after="40"/>
            </w:pPr>
            <w:r/>
            <w:r>
              <w:rPr>
                <w:rFonts w:ascii="Calibri" w:hAnsi="Calibri"/>
                <w:color w:val="565656"/>
                <w:sz w:val="17"/>
              </w:rPr>
              <w:t>s.33(1)</w:t>
            </w:r>
          </w:p>
        </w:tc>
        <w:tc>
          <w:tcPr>
            <w:tcW w:type="dxa" w:w="2304"/>
          </w:tcPr>
          <w:p>
            <w:pPr>
              <w:spacing w:after="40"/>
            </w:pPr>
            <w:r/>
            <w:r>
              <w:rPr>
                <w:rFonts w:ascii="Calibri" w:hAnsi="Calibri"/>
                <w:color w:val="565656"/>
                <w:sz w:val="17"/>
              </w:rPr>
              <w:t>7 days after appellate order</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Last date to appeal</w:t>
            </w:r>
          </w:p>
        </w:tc>
        <w:tc>
          <w:tcPr>
            <w:tcW w:type="dxa" w:w="1872"/>
          </w:tcPr>
          <w:p>
            <w:pPr>
              <w:spacing w:after="40"/>
            </w:pPr>
            <w:r/>
            <w:r>
              <w:rPr>
                <w:rFonts w:ascii="Calibri" w:hAnsi="Calibri"/>
                <w:color w:val="565656"/>
                <w:sz w:val="17"/>
              </w:rPr>
              <w:t>s.32</w:t>
            </w:r>
          </w:p>
        </w:tc>
        <w:tc>
          <w:tcPr>
            <w:tcW w:type="dxa" w:w="2304"/>
          </w:tcPr>
          <w:p>
            <w:pPr>
              <w:spacing w:after="40"/>
            </w:pPr>
            <w:r/>
            <w:r>
              <w:rPr>
                <w:rFonts w:ascii="Calibri" w:hAnsi="Calibri"/>
                <w:color w:val="565656"/>
                <w:sz w:val="17"/>
              </w:rPr>
              <w:t>60 days from the order</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Earliest modification without agreement</w:t>
            </w:r>
          </w:p>
        </w:tc>
        <w:tc>
          <w:tcPr>
            <w:tcW w:type="dxa" w:w="1872"/>
          </w:tcPr>
          <w:p>
            <w:pPr>
              <w:spacing w:after="40"/>
            </w:pPr>
            <w:r/>
            <w:r>
              <w:rPr>
                <w:rFonts w:ascii="Calibri" w:hAnsi="Calibri"/>
                <w:color w:val="565656"/>
                <w:sz w:val="17"/>
              </w:rPr>
              <w:t>s.35(1)</w:t>
            </w:r>
          </w:p>
        </w:tc>
        <w:tc>
          <w:tcPr>
            <w:tcW w:type="dxa" w:w="2304"/>
          </w:tcPr>
          <w:p>
            <w:pPr>
              <w:spacing w:after="40"/>
            </w:pPr>
            <w:r/>
            <w:r>
              <w:rPr>
                <w:rFonts w:ascii="Calibri" w:hAnsi="Calibri"/>
                <w:color w:val="565656"/>
                <w:sz w:val="17"/>
              </w:rPr>
              <w:t>6 months after operation</w:t>
            </w:r>
          </w:p>
        </w:tc>
        <w:tc>
          <w:tcPr>
            <w:tcW w:type="dxa" w:w="1728"/>
          </w:tcPr>
          <w:p>
            <w:pPr>
              <w:spacing w:after="40"/>
            </w:pPr>
            <w:r/>
            <w:r>
              <w:rPr>
                <w:rFonts w:ascii="Calibri" w:hAnsi="Calibri"/>
                <w:color w:val="565656"/>
                <w:sz w:val="17"/>
              </w:rPr>
              <w:t>[DD-MMM-YYYY]</w:t>
            </w:r>
          </w:p>
        </w:tc>
      </w:tr>
    </w:tbl>
    <w:p>
      <w:pPr>
        <w:keepNext w:val="0"/>
        <w:spacing w:after="160" w:before="0"/>
      </w:pPr>
      <w:r>
        <w:rPr>
          <w:rFonts w:ascii="Calibri" w:hAnsi="Calibri"/>
          <w:b w:val="0"/>
          <w:i w:val="0"/>
          <w:color w:val="1D1D1D"/>
          <w:sz w:val="21"/>
        </w:rPr>
      </w:r>
    </w:p>
    <w:p>
      <w:pPr>
        <w:keepNext w:val="0"/>
        <w:spacing w:after="120" w:before="0"/>
      </w:pPr>
      <w:r>
        <w:rPr>
          <w:rFonts w:ascii="Calibri" w:hAnsi="Calibri"/>
          <w:b w:val="0"/>
          <w:i w:val="0"/>
          <w:color w:val="565656"/>
          <w:sz w:val="18"/>
        </w:rPr>
        <w:t>EITHER ROUTE  ·  these run whichever road you took.</w:t>
      </w:r>
    </w:p>
    <w:tbl>
      <w:tblPr>
        <w:tblStyle w:val="TableGrid"/>
        <w:tblW w:type="auto" w:w="0"/>
        <w:tblLook w:firstColumn="1" w:firstRow="1" w:lastColumn="0" w:lastRow="0" w:noHBand="0" w:noVBand="1" w:val="04A0"/>
      </w:tblPr>
      <w:tblGrid>
        <w:gridCol w:w="2412"/>
        <w:gridCol w:w="2412"/>
        <w:gridCol w:w="2412"/>
        <w:gridCol w:w="2412"/>
      </w:tblGrid>
      <w:tr>
        <w:tc>
          <w:tcPr>
            <w:tcW w:type="dxa" w:w="3456"/>
          </w:tcPr>
          <w:p>
            <w:pPr>
              <w:spacing w:after="40"/>
              <w:shd w:val="clear" w:fill="E8F4FC"/>
            </w:pPr>
            <w:r/>
            <w:r>
              <w:rPr>
                <w:rFonts w:ascii="Calibri" w:hAnsi="Calibri"/>
                <w:b/>
                <w:color w:val="0069A4"/>
                <w:sz w:val="17"/>
              </w:rPr>
              <w:t>Step</w:t>
            </w:r>
          </w:p>
        </w:tc>
        <w:tc>
          <w:tcPr>
            <w:tcW w:type="dxa" w:w="1872"/>
          </w:tcPr>
          <w:p>
            <w:pPr>
              <w:spacing w:after="40"/>
              <w:shd w:val="clear" w:fill="E8F4FC"/>
            </w:pPr>
            <w:r/>
            <w:r>
              <w:rPr>
                <w:rFonts w:ascii="Calibri" w:hAnsi="Calibri"/>
                <w:b/>
                <w:color w:val="0069A4"/>
                <w:sz w:val="17"/>
              </w:rPr>
              <w:t>Provision</w:t>
            </w:r>
          </w:p>
        </w:tc>
        <w:tc>
          <w:tcPr>
            <w:tcW w:type="dxa" w:w="2304"/>
          </w:tcPr>
          <w:p>
            <w:pPr>
              <w:spacing w:after="40"/>
              <w:shd w:val="clear" w:fill="E8F4FC"/>
            </w:pPr>
            <w:r/>
            <w:r>
              <w:rPr>
                <w:rFonts w:ascii="Calibri" w:hAnsi="Calibri"/>
                <w:b/>
                <w:color w:val="0069A4"/>
                <w:sz w:val="17"/>
              </w:rPr>
              <w:t>Due</w:t>
            </w:r>
          </w:p>
        </w:tc>
        <w:tc>
          <w:tcPr>
            <w:tcW w:type="dxa" w:w="1728"/>
          </w:tcPr>
          <w:p>
            <w:pPr>
              <w:spacing w:after="40"/>
              <w:shd w:val="clear" w:fill="E8F4FC"/>
            </w:pPr>
            <w:r/>
            <w:r>
              <w:rPr>
                <w:rFonts w:ascii="Calibri" w:hAnsi="Calibri"/>
                <w:b/>
                <w:color w:val="0069A4"/>
                <w:sz w:val="17"/>
              </w:rPr>
              <w:t>Done on</w:t>
            </w:r>
          </w:p>
        </w:tc>
      </w:tr>
      <w:tr>
        <w:tc>
          <w:tcPr>
            <w:tcW w:type="dxa" w:w="3456"/>
          </w:tcPr>
          <w:p>
            <w:pPr>
              <w:spacing w:after="40"/>
            </w:pPr>
            <w:r/>
            <w:r>
              <w:rPr>
                <w:rFonts w:ascii="Calibri" w:hAnsi="Calibri"/>
                <w:color w:val="565656"/>
                <w:sz w:val="17"/>
              </w:rPr>
              <w:t>Text maintained and displayed for workers</w:t>
            </w:r>
          </w:p>
        </w:tc>
        <w:tc>
          <w:tcPr>
            <w:tcW w:type="dxa" w:w="1872"/>
          </w:tcPr>
          <w:p>
            <w:pPr>
              <w:spacing w:after="40"/>
            </w:pPr>
            <w:r/>
            <w:r>
              <w:rPr>
                <w:rFonts w:ascii="Calibri" w:hAnsi="Calibri"/>
                <w:color w:val="565656"/>
                <w:sz w:val="17"/>
              </w:rPr>
              <w:t>s.33(2)</w:t>
            </w:r>
          </w:p>
        </w:tc>
        <w:tc>
          <w:tcPr>
            <w:tcW w:type="dxa" w:w="2304"/>
          </w:tcPr>
          <w:p>
            <w:pPr>
              <w:spacing w:after="40"/>
            </w:pPr>
            <w:r/>
            <w:r>
              <w:rPr>
                <w:rFonts w:ascii="Calibri" w:hAnsi="Calibri"/>
                <w:color w:val="565656"/>
                <w:sz w:val="17"/>
              </w:rPr>
              <w:t>on operation</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In Hindi, English AND the local language, on the board at the entrance</w:t>
            </w:r>
          </w:p>
        </w:tc>
        <w:tc>
          <w:tcPr>
            <w:tcW w:type="dxa" w:w="1872"/>
          </w:tcPr>
          <w:p>
            <w:pPr>
              <w:spacing w:after="40"/>
            </w:pPr>
            <w:r/>
            <w:r>
              <w:rPr>
                <w:rFonts w:ascii="Calibri" w:hAnsi="Calibri"/>
                <w:color w:val="565656"/>
                <w:sz w:val="17"/>
              </w:rPr>
              <w:t>rules 16(2), 16(3)</w:t>
            </w:r>
          </w:p>
        </w:tc>
        <w:tc>
          <w:tcPr>
            <w:tcW w:type="dxa" w:w="2304"/>
          </w:tcPr>
          <w:p>
            <w:pPr>
              <w:spacing w:after="40"/>
            </w:pPr>
            <w:r/>
            <w:r>
              <w:rPr>
                <w:rFonts w:ascii="Calibri" w:hAnsi="Calibri"/>
                <w:color w:val="565656"/>
                <w:sz w:val="17"/>
              </w:rPr>
              <w:t>on operation</w:t>
            </w:r>
          </w:p>
        </w:tc>
        <w:tc>
          <w:tcPr>
            <w:tcW w:type="dxa" w:w="1728"/>
          </w:tcPr>
          <w:p>
            <w:pPr>
              <w:spacing w:after="40"/>
            </w:pPr>
            <w:r/>
            <w:r>
              <w:rPr>
                <w:rFonts w:ascii="Calibri" w:hAnsi="Calibri"/>
                <w:color w:val="565656"/>
                <w:sz w:val="17"/>
              </w:rPr>
              <w:t>[DD-MMM-YYYY]</w:t>
            </w:r>
          </w:p>
        </w:tc>
      </w:tr>
      <w:tr>
        <w:tc>
          <w:tcPr>
            <w:tcW w:type="dxa" w:w="3456"/>
          </w:tcPr>
          <w:p>
            <w:pPr>
              <w:spacing w:after="40"/>
            </w:pPr>
            <w:r/>
            <w:r>
              <w:rPr>
                <w:rFonts w:ascii="Calibri" w:hAnsi="Calibri"/>
                <w:color w:val="565656"/>
                <w:sz w:val="17"/>
              </w:rPr>
              <w:t>Annual re-run of the headcount lookback</w:t>
            </w:r>
          </w:p>
        </w:tc>
        <w:tc>
          <w:tcPr>
            <w:tcW w:type="dxa" w:w="1872"/>
          </w:tcPr>
          <w:p>
            <w:pPr>
              <w:spacing w:after="40"/>
            </w:pPr>
            <w:r/>
            <w:r>
              <w:rPr>
                <w:rFonts w:ascii="Calibri" w:hAnsi="Calibri"/>
                <w:color w:val="565656"/>
                <w:sz w:val="17"/>
              </w:rPr>
              <w:t>s.28(1)</w:t>
            </w:r>
          </w:p>
        </w:tc>
        <w:tc>
          <w:tcPr>
            <w:tcW w:type="dxa" w:w="2304"/>
          </w:tcPr>
          <w:p>
            <w:pPr>
              <w:spacing w:after="40"/>
            </w:pPr>
            <w:r/>
            <w:r>
              <w:rPr>
                <w:rFonts w:ascii="Calibri" w:hAnsi="Calibri"/>
                <w:color w:val="565656"/>
                <w:sz w:val="17"/>
              </w:rPr>
              <w:t>yearly</w:t>
            </w:r>
          </w:p>
        </w:tc>
        <w:tc>
          <w:tcPr>
            <w:tcW w:type="dxa" w:w="1728"/>
          </w:tcPr>
          <w:p>
            <w:pPr>
              <w:spacing w:after="40"/>
            </w:pPr>
            <w:r/>
            <w:r>
              <w:rPr>
                <w:rFonts w:ascii="Calibri" w:hAnsi="Calibri"/>
                <w:color w:val="565656"/>
                <w:sz w:val="17"/>
              </w:rPr>
              <w:t>[DD-MMM-YYYY]</w:t>
            </w:r>
          </w:p>
        </w:tc>
      </w:tr>
    </w:tbl>
    <w:p>
      <w:r>
        <w:br w:type="page"/>
      </w:r>
    </w:p>
    <w:p>
      <w:pPr>
        <w:pStyle w:val="Heading1"/>
        <w:keepNext/>
        <w:spacing w:after="200" w:before="80"/>
        <w:ind w:left="115"/>
        <w:shd w:val="clear" w:fill="008CDB"/>
      </w:pPr>
      <w:r>
        <w:rPr>
          <w:rFonts w:ascii="Calibri" w:hAnsi="Calibri"/>
          <w:b/>
          <w:color w:val="FFFFFF"/>
          <w:sz w:val="22"/>
        </w:rPr>
        <w:t>12  ·  EIGHT MISTAKES EMPLOYERS MAKE</w:t>
      </w:r>
    </w:p>
    <w:p>
      <w:pPr>
        <w:keepNext w:val="0"/>
        <w:spacing w:after="60" w:before="0"/>
      </w:pPr>
      <w:r>
        <w:rPr>
          <w:rFonts w:ascii="Calibri" w:hAnsi="Calibri"/>
          <w:b/>
          <w:i w:val="0"/>
          <w:color w:val="1D1D1D"/>
          <w:sz w:val="22"/>
        </w:rPr>
        <w:t>1.  Thinking you have no standing orders yet</w:t>
      </w:r>
    </w:p>
    <w:p>
      <w:pPr>
        <w:keepNext w:val="0"/>
        <w:spacing w:after="160" w:before="0"/>
        <w:ind w:left="173"/>
      </w:pPr>
      <w:r>
        <w:rPr>
          <w:rFonts w:ascii="Calibri" w:hAnsi="Calibri"/>
          <w:b w:val="0"/>
          <w:i w:val="0"/>
          <w:color w:val="565656"/>
          <w:sz w:val="20"/>
        </w:rPr>
        <w:t>Section 29(2) deems the Model Standing Orders adopted from the day the Chapter reached you until your own certified orders come into operation. You are not waiting to have standing orders. You have the Centre's.</w:t>
      </w:r>
    </w:p>
    <w:p>
      <w:pPr>
        <w:keepNext w:val="0"/>
        <w:spacing w:after="60" w:before="0"/>
      </w:pPr>
      <w:r>
        <w:rPr>
          <w:rFonts w:ascii="Calibri" w:hAnsi="Calibri"/>
          <w:b/>
          <w:i w:val="0"/>
          <w:color w:val="1D1D1D"/>
          <w:sz w:val="22"/>
        </w:rPr>
        <w:t>2.  Counting only today's headcount</w:t>
      </w:r>
    </w:p>
    <w:p>
      <w:pPr>
        <w:keepNext w:val="0"/>
        <w:spacing w:after="160" w:before="0"/>
        <w:ind w:left="173"/>
      </w:pPr>
      <w:r>
        <w:rPr>
          <w:rFonts w:ascii="Calibri" w:hAnsi="Calibri"/>
          <w:b w:val="0"/>
          <w:i w:val="0"/>
          <w:color w:val="565656"/>
          <w:sz w:val="20"/>
        </w:rPr>
        <w:t>Section 28(1) also catches an establishment that employed three hundred or more on ANY DAY of the preceding twelve months. A seasonal peak last December decides this year.</w:t>
      </w:r>
    </w:p>
    <w:p>
      <w:pPr>
        <w:keepNext w:val="0"/>
        <w:spacing w:after="60" w:before="0"/>
      </w:pPr>
      <w:r>
        <w:rPr>
          <w:rFonts w:ascii="Calibri" w:hAnsi="Calibri"/>
          <w:b/>
          <w:i w:val="0"/>
          <w:color w:val="1D1D1D"/>
          <w:sz w:val="22"/>
        </w:rPr>
        <w:t>3.  Missing the six-month drafting window</w:t>
      </w:r>
    </w:p>
    <w:p>
      <w:pPr>
        <w:keepNext w:val="0"/>
        <w:spacing w:after="160" w:before="0"/>
        <w:ind w:left="173"/>
      </w:pPr>
      <w:r>
        <w:rPr>
          <w:rFonts w:ascii="Calibri" w:hAnsi="Calibri"/>
          <w:b w:val="0"/>
          <w:i w:val="0"/>
          <w:color w:val="565656"/>
          <w:sz w:val="20"/>
        </w:rPr>
        <w:t>Section 30(1) allowed six months from commencement. The Code commenced on 21-Nov-2025, so the window closed on 21-May-2026. Most establishments are already past it, which changes the advice from plan to remedy.</w:t>
      </w:r>
    </w:p>
    <w:p>
      <w:pPr>
        <w:keepNext w:val="0"/>
        <w:spacing w:after="60" w:before="0"/>
      </w:pPr>
      <w:r>
        <w:rPr>
          <w:rFonts w:ascii="Calibri" w:hAnsi="Calibri"/>
          <w:b/>
          <w:i w:val="0"/>
          <w:color w:val="1D1D1D"/>
          <w:sz w:val="22"/>
        </w:rPr>
        <w:t>4.  Treating the certifying officer's silence as a problem</w:t>
      </w:r>
    </w:p>
    <w:p>
      <w:pPr>
        <w:keepNext w:val="0"/>
        <w:spacing w:after="160" w:before="0"/>
        <w:ind w:left="173"/>
      </w:pPr>
      <w:r>
        <w:rPr>
          <w:rFonts w:ascii="Calibri" w:hAnsi="Calibri"/>
          <w:b w:val="0"/>
          <w:i w:val="0"/>
          <w:color w:val="565656"/>
          <w:sz w:val="20"/>
        </w:rPr>
        <w:t>The proviso to section 30(5) deems the draft certified if the officer does not complete the procedure within sixty days. Silence runs in your favour, and you should diarise it rather than chase it.</w:t>
      </w:r>
    </w:p>
    <w:p>
      <w:pPr>
        <w:keepNext w:val="0"/>
        <w:spacing w:after="60" w:before="0"/>
      </w:pPr>
      <w:r>
        <w:rPr>
          <w:rFonts w:ascii="Calibri" w:hAnsi="Calibri"/>
          <w:b/>
          <w:i w:val="0"/>
          <w:color w:val="1D1D1D"/>
          <w:sz w:val="22"/>
        </w:rPr>
        <w:t>5.  Skipping the consultation</w:t>
      </w:r>
    </w:p>
    <w:p>
      <w:pPr>
        <w:keepNext w:val="0"/>
        <w:spacing w:after="160" w:before="0"/>
        <w:ind w:left="173"/>
      </w:pPr>
      <w:r>
        <w:rPr>
          <w:rFonts w:ascii="Calibri" w:hAnsi="Calibri"/>
          <w:b w:val="0"/>
          <w:i w:val="0"/>
          <w:color w:val="565656"/>
          <w:sz w:val="20"/>
        </w:rPr>
        <w:t>Section 30(2) requires the employer to consult the Trade Unions or the recognised negotiating union or the members of the negotiating council before forwarding the draft. A draft that arrives unconsulted is vulnerable at exactly the point you need it to hold.</w:t>
      </w:r>
    </w:p>
    <w:p>
      <w:pPr>
        <w:keepNext w:val="0"/>
        <w:spacing w:after="60" w:before="0"/>
      </w:pPr>
      <w:r>
        <w:rPr>
          <w:rFonts w:ascii="Calibri" w:hAnsi="Calibri"/>
          <w:b/>
          <w:i w:val="0"/>
          <w:color w:val="1D1D1D"/>
          <w:sz w:val="22"/>
        </w:rPr>
        <w:t>6.  Carrying over 1946 Act standing orders unchecked</w:t>
      </w:r>
    </w:p>
    <w:p>
      <w:pPr>
        <w:keepNext w:val="0"/>
        <w:spacing w:after="160" w:before="0"/>
        <w:ind w:left="173"/>
      </w:pPr>
      <w:r>
        <w:rPr>
          <w:rFonts w:ascii="Calibri" w:hAnsi="Calibri"/>
          <w:b w:val="0"/>
          <w:i w:val="0"/>
          <w:color w:val="565656"/>
          <w:sz w:val="20"/>
        </w:rPr>
        <w:t>Section 30(11) continues existing standing orders only so far as they are NOT INCONSISTENT with this Code. They were written under a repealed Act, so the inconsistency check is real work, not a formality.</w:t>
      </w:r>
    </w:p>
    <w:p>
      <w:pPr>
        <w:keepNext w:val="0"/>
        <w:spacing w:after="60" w:before="0"/>
      </w:pPr>
      <w:r>
        <w:rPr>
          <w:rFonts w:ascii="Calibri" w:hAnsi="Calibri"/>
          <w:b/>
          <w:i w:val="0"/>
          <w:color w:val="1D1D1D"/>
          <w:sz w:val="22"/>
        </w:rPr>
        <w:t>7.  Leaving out a First Schedule matter</w:t>
      </w:r>
    </w:p>
    <w:p>
      <w:pPr>
        <w:keepNext w:val="0"/>
        <w:spacing w:after="160" w:before="0"/>
        <w:ind w:left="173"/>
      </w:pPr>
      <w:r>
        <w:rPr>
          <w:rFonts w:ascii="Calibri" w:hAnsi="Calibri"/>
          <w:b w:val="0"/>
          <w:i w:val="0"/>
          <w:color w:val="565656"/>
          <w:sz w:val="20"/>
        </w:rPr>
        <w:t>Section 30(6)(a) makes orders certifiable only if provision is made for every matter in the First Schedule applicable to the establishment. One missing head is one refusal.</w:t>
      </w:r>
    </w:p>
    <w:p>
      <w:pPr>
        <w:keepNext w:val="0"/>
        <w:spacing w:after="60" w:before="0"/>
      </w:pPr>
      <w:r>
        <w:rPr>
          <w:rFonts w:ascii="Calibri" w:hAnsi="Calibri"/>
          <w:b/>
          <w:i w:val="0"/>
          <w:color w:val="1D1D1D"/>
          <w:sz w:val="22"/>
        </w:rPr>
        <w:t>8.  Writing subsistence allowance as a discretion</w:t>
      </w:r>
    </w:p>
    <w:p>
      <w:pPr>
        <w:keepNext w:val="0"/>
        <w:spacing w:after="160" w:before="0"/>
        <w:ind w:left="173"/>
      </w:pPr>
      <w:r>
        <w:rPr>
          <w:rFonts w:ascii="Calibri" w:hAnsi="Calibri"/>
          <w:b w:val="0"/>
          <w:i w:val="0"/>
          <w:color w:val="565656"/>
          <w:sz w:val="20"/>
        </w:rPr>
        <w:t>Section 38(2) says the standing orders SHALL provide it, and 38(3) fixes the rates at fifty per cent for ninety days and seventy-five thereafter. It is not a policy choice.</w:t>
      </w:r>
    </w:p>
    <w:p>
      <w:r>
        <w:br w:type="page"/>
      </w:r>
    </w:p>
    <w:p>
      <w:pPr>
        <w:pStyle w:val="Heading1"/>
        <w:keepNext/>
        <w:spacing w:after="200" w:before="80"/>
        <w:ind w:left="115"/>
        <w:shd w:val="clear" w:fill="008CDB"/>
      </w:pPr>
      <w:r>
        <w:rPr>
          <w:rFonts w:ascii="Calibri" w:hAnsi="Calibri"/>
          <w:b/>
          <w:color w:val="FFFFFF"/>
          <w:sz w:val="22"/>
        </w:rPr>
        <w:t>13  ·  FOURTEEN CHECKS, AND WHERE EVERY LINE COMES FROM</w:t>
      </w:r>
    </w:p>
    <w:p>
      <w:pPr>
        <w:keepNext w:val="0"/>
        <w:spacing w:after="160" w:before="0"/>
      </w:pPr>
      <w:r>
        <w:rPr>
          <w:rFonts w:ascii="Calibri" w:hAnsi="Calibri"/>
          <w:b w:val="0"/>
          <w:i w:val="0"/>
          <w:color w:val="1D1D1D"/>
          <w:sz w:val="21"/>
        </w:rPr>
        <w:t>Run the first six once, and the rest on the cycle Format 10 sets.</w:t>
      </w:r>
    </w:p>
    <w:p>
      <w:pPr>
        <w:keepNext w:val="0"/>
        <w:spacing w:after="80" w:before="0"/>
        <w:ind w:left="144"/>
      </w:pPr>
      <w:r>
        <w:rPr>
          <w:rFonts w:ascii="Calibri" w:hAnsi="Calibri"/>
          <w:b w:val="0"/>
          <w:i w:val="0"/>
          <w:color w:val="565656"/>
          <w:sz w:val="20"/>
        </w:rPr>
        <w:t>1.  Count the workers, and check every day of the preceding twelve months, not just today.</w:t>
      </w:r>
    </w:p>
    <w:p>
      <w:pPr>
        <w:keepNext w:val="0"/>
        <w:spacing w:after="80" w:before="0"/>
        <w:ind w:left="144"/>
      </w:pPr>
      <w:r>
        <w:rPr>
          <w:rFonts w:ascii="Calibri" w:hAnsi="Calibri"/>
          <w:b w:val="0"/>
          <w:i w:val="0"/>
          <w:color w:val="565656"/>
          <w:sz w:val="20"/>
        </w:rPr>
        <w:t>2.  Confirm you are an industrial establishment, and that section 28(2) does not take you out.</w:t>
      </w:r>
    </w:p>
    <w:p>
      <w:pPr>
        <w:keepNext w:val="0"/>
        <w:spacing w:after="80" w:before="0"/>
        <w:ind w:left="144"/>
      </w:pPr>
      <w:r>
        <w:rPr>
          <w:rFonts w:ascii="Calibri" w:hAnsi="Calibri"/>
          <w:b w:val="0"/>
          <w:i w:val="0"/>
          <w:color w:val="565656"/>
          <w:sz w:val="20"/>
        </w:rPr>
        <w:t>3.  Look for an exemption notification under section 39 for your class.</w:t>
      </w:r>
    </w:p>
    <w:p>
      <w:pPr>
        <w:keepNext w:val="0"/>
        <w:spacing w:after="80" w:before="0"/>
        <w:ind w:left="144"/>
      </w:pPr>
      <w:r>
        <w:rPr>
          <w:rFonts w:ascii="Calibri" w:hAnsi="Calibri"/>
          <w:b w:val="0"/>
          <w:i w:val="0"/>
          <w:color w:val="565656"/>
          <w:sz w:val="20"/>
        </w:rPr>
        <w:t>4.  Decide the route: adopt the model, draft your own, or continue existing orders after an inconsistency check.</w:t>
      </w:r>
    </w:p>
    <w:p>
      <w:pPr>
        <w:keepNext w:val="0"/>
        <w:spacing w:after="80" w:before="0"/>
        <w:ind w:left="144"/>
      </w:pPr>
      <w:r>
        <w:rPr>
          <w:rFonts w:ascii="Calibri" w:hAnsi="Calibri"/>
          <w:b w:val="0"/>
          <w:i w:val="0"/>
          <w:color w:val="565656"/>
          <w:sz w:val="20"/>
        </w:rPr>
        <w:t>5.  If adopting, send the section 30(3) information to the certifying officer and keep proof.</w:t>
      </w:r>
    </w:p>
    <w:p>
      <w:pPr>
        <w:keepNext w:val="0"/>
        <w:spacing w:after="80" w:before="0"/>
        <w:ind w:left="144"/>
      </w:pPr>
      <w:r>
        <w:rPr>
          <w:rFonts w:ascii="Calibri" w:hAnsi="Calibri"/>
          <w:b w:val="0"/>
          <w:i w:val="0"/>
          <w:color w:val="565656"/>
          <w:sz w:val="20"/>
        </w:rPr>
        <w:t>6.  If drafting, cover every matter in the First Schedule that applies.</w:t>
      </w:r>
    </w:p>
    <w:p>
      <w:pPr>
        <w:keepNext w:val="0"/>
        <w:spacing w:after="80" w:before="0"/>
        <w:ind w:left="144"/>
      </w:pPr>
      <w:r>
        <w:rPr>
          <w:rFonts w:ascii="Calibri" w:hAnsi="Calibri"/>
          <w:b w:val="0"/>
          <w:i w:val="0"/>
          <w:color w:val="565656"/>
          <w:sz w:val="20"/>
        </w:rPr>
        <w:t>7.  Consult the Trade Union or negotiating union, and minute it.</w:t>
      </w:r>
    </w:p>
    <w:p>
      <w:pPr>
        <w:keepNext w:val="0"/>
        <w:spacing w:after="80" w:before="0"/>
        <w:ind w:left="144"/>
      </w:pPr>
      <w:r>
        <w:rPr>
          <w:rFonts w:ascii="Calibri" w:hAnsi="Calibri"/>
          <w:b w:val="0"/>
          <w:i w:val="0"/>
          <w:color w:val="565656"/>
          <w:sz w:val="20"/>
        </w:rPr>
        <w:t>8.  Attach the section 30(9) statement of particulars to the draft.</w:t>
      </w:r>
    </w:p>
    <w:p>
      <w:pPr>
        <w:keepNext w:val="0"/>
        <w:spacing w:after="80" w:before="0"/>
        <w:ind w:left="144"/>
      </w:pPr>
      <w:r>
        <w:rPr>
          <w:rFonts w:ascii="Calibri" w:hAnsi="Calibri"/>
          <w:b w:val="0"/>
          <w:i w:val="0"/>
          <w:color w:val="565656"/>
          <w:sz w:val="20"/>
        </w:rPr>
        <w:t>9.  Diarise sixty days from receipt: after that the draft is deemed certified.</w:t>
      </w:r>
    </w:p>
    <w:p>
      <w:pPr>
        <w:keepNext w:val="0"/>
        <w:spacing w:after="80" w:before="0"/>
        <w:ind w:left="144"/>
      </w:pPr>
      <w:r>
        <w:rPr>
          <w:rFonts w:ascii="Calibri" w:hAnsi="Calibri"/>
          <w:b w:val="0"/>
          <w:i w:val="0"/>
          <w:color w:val="565656"/>
          <w:sz w:val="20"/>
        </w:rPr>
        <w:t>10.  On certification, expect authenticated copies within seven days.</w:t>
      </w:r>
    </w:p>
    <w:p>
      <w:pPr>
        <w:keepNext w:val="0"/>
        <w:spacing w:after="80" w:before="0"/>
        <w:ind w:left="144"/>
      </w:pPr>
      <w:r>
        <w:rPr>
          <w:rFonts w:ascii="Calibri" w:hAnsi="Calibri"/>
          <w:b w:val="0"/>
          <w:i w:val="0"/>
          <w:color w:val="565656"/>
          <w:sz w:val="20"/>
        </w:rPr>
        <w:t>11.  Diarise thirty days from those copies for the orders to come into operation.</w:t>
      </w:r>
    </w:p>
    <w:p>
      <w:pPr>
        <w:keepNext w:val="0"/>
        <w:spacing w:after="80" w:before="0"/>
        <w:ind w:left="144"/>
      </w:pPr>
      <w:r>
        <w:rPr>
          <w:rFonts w:ascii="Calibri" w:hAnsi="Calibri"/>
          <w:b w:val="0"/>
          <w:i w:val="0"/>
          <w:color w:val="565656"/>
          <w:sz w:val="20"/>
        </w:rPr>
        <w:t>12.  Maintain the text for workers in the prescribed language and manner.</w:t>
      </w:r>
    </w:p>
    <w:p>
      <w:pPr>
        <w:keepNext w:val="0"/>
        <w:spacing w:after="80" w:before="0"/>
        <w:ind w:left="144"/>
      </w:pPr>
      <w:r>
        <w:rPr>
          <w:rFonts w:ascii="Calibri" w:hAnsi="Calibri"/>
          <w:b w:val="0"/>
          <w:i w:val="0"/>
          <w:color w:val="565656"/>
          <w:sz w:val="20"/>
        </w:rPr>
        <w:t>13.  Put the subsistence allowance rates in the orders, and the ninety-day inquiry clock beside them.</w:t>
      </w:r>
    </w:p>
    <w:p>
      <w:pPr>
        <w:keepNext w:val="0"/>
        <w:spacing w:after="80" w:before="0"/>
        <w:ind w:left="144"/>
      </w:pPr>
      <w:r>
        <w:rPr>
          <w:rFonts w:ascii="Calibri" w:hAnsi="Calibri"/>
          <w:b w:val="0"/>
          <w:i w:val="0"/>
          <w:color w:val="565656"/>
          <w:sz w:val="20"/>
        </w:rPr>
        <w:t>14.  Re-run the headcount annually, because the lookback keeps moving.</w:t>
      </w:r>
    </w:p>
    <w:p>
      <w:pPr>
        <w:keepNext w:val="0"/>
        <w:spacing w:after="200" w:before="0"/>
      </w:pPr>
      <w:r>
        <w:rPr>
          <w:rFonts w:ascii="Calibri" w:hAnsi="Calibri"/>
          <w:b w:val="0"/>
          <w:i w:val="0"/>
          <w:color w:val="1D1D1D"/>
          <w:sz w:val="21"/>
        </w:rPr>
      </w:r>
    </w:p>
    <w:p>
      <w:pPr>
        <w:keepNext w:val="0"/>
        <w:spacing w:after="160" w:before="120"/>
      </w:pPr>
      <w:r>
        <w:rPr>
          <w:rFonts w:ascii="Calibri" w:hAnsi="Calibri"/>
          <w:b/>
          <w:i w:val="0"/>
          <w:color w:val="1D1D1D"/>
          <w:sz w:val="22"/>
        </w:rPr>
        <w:t>Every claim in this pack, against the provision it rests on</w:t>
      </w:r>
    </w:p>
    <w:tbl>
      <w:tblPr>
        <w:tblStyle w:val="TableGrid"/>
        <w:tblW w:type="auto" w:w="0"/>
        <w:tblLook w:firstColumn="1" w:firstRow="1" w:lastColumn="0" w:lastRow="0" w:noHBand="0" w:noVBand="1" w:val="04A0"/>
      </w:tblPr>
      <w:tblGrid>
        <w:gridCol w:w="4824"/>
        <w:gridCol w:w="4824"/>
      </w:tblGrid>
      <w:tr>
        <w:tc>
          <w:tcPr>
            <w:tcW w:type="dxa" w:w="6192"/>
          </w:tcPr>
          <w:p>
            <w:pPr>
              <w:spacing w:after="40"/>
              <w:shd w:val="clear" w:fill="E8F4FC"/>
            </w:pPr>
            <w:r/>
            <w:r>
              <w:rPr>
                <w:rFonts w:ascii="Calibri" w:hAnsi="Calibri"/>
                <w:b/>
                <w:color w:val="0069A4"/>
                <w:sz w:val="18"/>
              </w:rPr>
              <w:t>The claim</w:t>
            </w:r>
          </w:p>
        </w:tc>
        <w:tc>
          <w:tcPr>
            <w:tcW w:type="dxa" w:w="3168"/>
          </w:tcPr>
          <w:p>
            <w:pPr>
              <w:spacing w:after="40"/>
              <w:shd w:val="clear" w:fill="E8F4FC"/>
            </w:pPr>
            <w:r/>
            <w:r>
              <w:rPr>
                <w:rFonts w:ascii="Calibri" w:hAnsi="Calibri"/>
                <w:b/>
                <w:color w:val="0069A4"/>
                <w:sz w:val="18"/>
              </w:rPr>
              <w:t>The provision</w:t>
            </w:r>
          </w:p>
        </w:tc>
      </w:tr>
      <w:tr>
        <w:tc>
          <w:tcPr>
            <w:tcW w:type="dxa" w:w="6192"/>
          </w:tcPr>
          <w:p>
            <w:pPr>
              <w:spacing w:after="40"/>
            </w:pPr>
            <w:r/>
            <w:r>
              <w:rPr>
                <w:rFonts w:ascii="Calibri" w:hAnsi="Calibri"/>
                <w:color w:val="565656"/>
                <w:sz w:val="18"/>
              </w:rPr>
              <w:t>Chapter IV applies at three hundred or more than three hundred workers, or that many on any day of the preceding twelve months</w:t>
            </w:r>
          </w:p>
        </w:tc>
        <w:tc>
          <w:tcPr>
            <w:tcW w:type="dxa" w:w="3168"/>
          </w:tcPr>
          <w:p>
            <w:pPr>
              <w:spacing w:after="40"/>
            </w:pPr>
            <w:r/>
            <w:r>
              <w:rPr>
                <w:rFonts w:ascii="Calibri" w:hAnsi="Calibri"/>
                <w:color w:val="565656"/>
                <w:sz w:val="18"/>
              </w:rPr>
              <w:t>IR Code, 2020, s.28(1)</w:t>
            </w:r>
          </w:p>
        </w:tc>
      </w:tr>
      <w:tr>
        <w:tc>
          <w:tcPr>
            <w:tcW w:type="dxa" w:w="6192"/>
          </w:tcPr>
          <w:p>
            <w:pPr>
              <w:spacing w:after="40"/>
            </w:pPr>
            <w:r/>
            <w:r>
              <w:rPr>
                <w:rFonts w:ascii="Calibri" w:hAnsi="Calibri"/>
                <w:color w:val="565656"/>
                <w:sz w:val="18"/>
              </w:rPr>
              <w:t>It does not apply where government service rules govern the workers</w:t>
            </w:r>
          </w:p>
        </w:tc>
        <w:tc>
          <w:tcPr>
            <w:tcW w:type="dxa" w:w="3168"/>
          </w:tcPr>
          <w:p>
            <w:pPr>
              <w:spacing w:after="40"/>
            </w:pPr>
            <w:r/>
            <w:r>
              <w:rPr>
                <w:rFonts w:ascii="Calibri" w:hAnsi="Calibri"/>
                <w:color w:val="565656"/>
                <w:sz w:val="18"/>
              </w:rPr>
              <w:t>IR Code, 2020, s.28(2)</w:t>
            </w:r>
          </w:p>
        </w:tc>
      </w:tr>
      <w:tr>
        <w:tc>
          <w:tcPr>
            <w:tcW w:type="dxa" w:w="6192"/>
          </w:tcPr>
          <w:p>
            <w:pPr>
              <w:spacing w:after="40"/>
            </w:pPr>
            <w:r/>
            <w:r>
              <w:rPr>
                <w:rFonts w:ascii="Calibri" w:hAnsi="Calibri"/>
                <w:color w:val="565656"/>
                <w:sz w:val="18"/>
              </w:rPr>
              <w:t>The Central Government shall make model standing orders</w:t>
            </w:r>
          </w:p>
        </w:tc>
        <w:tc>
          <w:tcPr>
            <w:tcW w:type="dxa" w:w="3168"/>
          </w:tcPr>
          <w:p>
            <w:pPr>
              <w:spacing w:after="40"/>
            </w:pPr>
            <w:r/>
            <w:r>
              <w:rPr>
                <w:rFonts w:ascii="Calibri" w:hAnsi="Calibri"/>
                <w:color w:val="565656"/>
                <w:sz w:val="18"/>
              </w:rPr>
              <w:t>IR Code, 2020, s.29(1)</w:t>
            </w:r>
          </w:p>
        </w:tc>
      </w:tr>
      <w:tr>
        <w:tc>
          <w:tcPr>
            <w:tcW w:type="dxa" w:w="6192"/>
          </w:tcPr>
          <w:p>
            <w:pPr>
              <w:spacing w:after="40"/>
            </w:pPr>
            <w:r/>
            <w:r>
              <w:rPr>
                <w:rFonts w:ascii="Calibri" w:hAnsi="Calibri"/>
                <w:color w:val="565656"/>
                <w:sz w:val="18"/>
              </w:rPr>
              <w:t>Until your own are certified, the model standing orders are DEEMED ADOPTED</w:t>
            </w:r>
          </w:p>
        </w:tc>
        <w:tc>
          <w:tcPr>
            <w:tcW w:type="dxa" w:w="3168"/>
          </w:tcPr>
          <w:p>
            <w:pPr>
              <w:spacing w:after="40"/>
            </w:pPr>
            <w:r/>
            <w:r>
              <w:rPr>
                <w:rFonts w:ascii="Calibri" w:hAnsi="Calibri"/>
                <w:color w:val="565656"/>
                <w:sz w:val="18"/>
              </w:rPr>
              <w:t>IR Code, 2020, s.29(2)</w:t>
            </w:r>
          </w:p>
        </w:tc>
      </w:tr>
      <w:tr>
        <w:tc>
          <w:tcPr>
            <w:tcW w:type="dxa" w:w="6192"/>
          </w:tcPr>
          <w:p>
            <w:pPr>
              <w:spacing w:after="40"/>
            </w:pPr>
            <w:r/>
            <w:r>
              <w:rPr>
                <w:rFonts w:ascii="Calibri" w:hAnsi="Calibri"/>
                <w:color w:val="565656"/>
                <w:sz w:val="18"/>
              </w:rPr>
              <w:t>Six months from commencement of the Code to prepare the draft</w:t>
            </w:r>
          </w:p>
        </w:tc>
        <w:tc>
          <w:tcPr>
            <w:tcW w:type="dxa" w:w="3168"/>
          </w:tcPr>
          <w:p>
            <w:pPr>
              <w:spacing w:after="40"/>
            </w:pPr>
            <w:r/>
            <w:r>
              <w:rPr>
                <w:rFonts w:ascii="Calibri" w:hAnsi="Calibri"/>
                <w:color w:val="565656"/>
                <w:sz w:val="18"/>
              </w:rPr>
              <w:t>IR Code, 2020, s.30(1)</w:t>
            </w:r>
          </w:p>
        </w:tc>
      </w:tr>
      <w:tr>
        <w:tc>
          <w:tcPr>
            <w:tcW w:type="dxa" w:w="6192"/>
          </w:tcPr>
          <w:p>
            <w:pPr>
              <w:spacing w:after="40"/>
            </w:pPr>
            <w:r/>
            <w:r>
              <w:rPr>
                <w:rFonts w:ascii="Calibri" w:hAnsi="Calibri"/>
                <w:color w:val="565656"/>
                <w:sz w:val="18"/>
              </w:rPr>
              <w:t>The employer shall consult the Trade Unions or negotiating union or council</w:t>
            </w:r>
          </w:p>
        </w:tc>
        <w:tc>
          <w:tcPr>
            <w:tcW w:type="dxa" w:w="3168"/>
          </w:tcPr>
          <w:p>
            <w:pPr>
              <w:spacing w:after="40"/>
            </w:pPr>
            <w:r/>
            <w:r>
              <w:rPr>
                <w:rFonts w:ascii="Calibri" w:hAnsi="Calibri"/>
                <w:color w:val="565656"/>
                <w:sz w:val="18"/>
              </w:rPr>
              <w:t>IR Code, 2020, s.30(2)</w:t>
            </w:r>
          </w:p>
        </w:tc>
      </w:tr>
      <w:tr>
        <w:tc>
          <w:tcPr>
            <w:tcW w:type="dxa" w:w="6192"/>
          </w:tcPr>
          <w:p>
            <w:pPr>
              <w:spacing w:after="40"/>
            </w:pPr>
            <w:r/>
            <w:r>
              <w:rPr>
                <w:rFonts w:ascii="Calibri" w:hAnsi="Calibri"/>
                <w:color w:val="565656"/>
                <w:sz w:val="18"/>
              </w:rPr>
              <w:t>Adopting the model standing orders is DEEMED CERTIFICATION</w:t>
            </w:r>
          </w:p>
        </w:tc>
        <w:tc>
          <w:tcPr>
            <w:tcW w:type="dxa" w:w="3168"/>
          </w:tcPr>
          <w:p>
            <w:pPr>
              <w:spacing w:after="40"/>
            </w:pPr>
            <w:r/>
            <w:r>
              <w:rPr>
                <w:rFonts w:ascii="Calibri" w:hAnsi="Calibri"/>
                <w:color w:val="565656"/>
                <w:sz w:val="18"/>
              </w:rPr>
              <w:t>IR Code, 2020, s.30(3)</w:t>
            </w:r>
          </w:p>
        </w:tc>
      </w:tr>
      <w:tr>
        <w:tc>
          <w:tcPr>
            <w:tcW w:type="dxa" w:w="6192"/>
          </w:tcPr>
          <w:p>
            <w:pPr>
              <w:spacing w:after="40"/>
            </w:pPr>
            <w:r/>
            <w:r>
              <w:rPr>
                <w:rFonts w:ascii="Calibri" w:hAnsi="Calibri"/>
                <w:color w:val="565656"/>
                <w:sz w:val="18"/>
              </w:rPr>
              <w:t>Six months to forward draft modifications</w:t>
            </w:r>
          </w:p>
        </w:tc>
        <w:tc>
          <w:tcPr>
            <w:tcW w:type="dxa" w:w="3168"/>
          </w:tcPr>
          <w:p>
            <w:pPr>
              <w:spacing w:after="40"/>
            </w:pPr>
            <w:r/>
            <w:r>
              <w:rPr>
                <w:rFonts w:ascii="Calibri" w:hAnsi="Calibri"/>
                <w:color w:val="565656"/>
                <w:sz w:val="18"/>
              </w:rPr>
              <w:t>IR Code, 2020, s.30(4)</w:t>
            </w:r>
          </w:p>
        </w:tc>
      </w:tr>
      <w:tr>
        <w:tc>
          <w:tcPr>
            <w:tcW w:type="dxa" w:w="6192"/>
          </w:tcPr>
          <w:p>
            <w:pPr>
              <w:spacing w:after="40"/>
            </w:pPr>
            <w:r/>
            <w:r>
              <w:rPr>
                <w:rFonts w:ascii="Calibri" w:hAnsi="Calibri"/>
                <w:color w:val="565656"/>
                <w:sz w:val="18"/>
              </w:rPr>
              <w:t>The certifying officer notices the union, takes comments and hears them</w:t>
            </w:r>
          </w:p>
        </w:tc>
        <w:tc>
          <w:tcPr>
            <w:tcW w:type="dxa" w:w="3168"/>
          </w:tcPr>
          <w:p>
            <w:pPr>
              <w:spacing w:after="40"/>
            </w:pPr>
            <w:r/>
            <w:r>
              <w:rPr>
                <w:rFonts w:ascii="Calibri" w:hAnsi="Calibri"/>
                <w:color w:val="565656"/>
                <w:sz w:val="18"/>
              </w:rPr>
              <w:t>IR Code, 2020, s.30(5)</w:t>
            </w:r>
          </w:p>
        </w:tc>
      </w:tr>
      <w:tr>
        <w:tc>
          <w:tcPr>
            <w:tcW w:type="dxa" w:w="6192"/>
          </w:tcPr>
          <w:p>
            <w:pPr>
              <w:spacing w:after="40"/>
            </w:pPr>
            <w:r/>
            <w:r>
              <w:rPr>
                <w:rFonts w:ascii="Calibri" w:hAnsi="Calibri"/>
                <w:color w:val="565656"/>
                <w:sz w:val="18"/>
              </w:rPr>
              <w:t>Sixty days, failing which the draft is deemed certified</w:t>
            </w:r>
          </w:p>
        </w:tc>
        <w:tc>
          <w:tcPr>
            <w:tcW w:type="dxa" w:w="3168"/>
          </w:tcPr>
          <w:p>
            <w:pPr>
              <w:spacing w:after="40"/>
            </w:pPr>
            <w:r/>
            <w:r>
              <w:rPr>
                <w:rFonts w:ascii="Calibri" w:hAnsi="Calibri"/>
                <w:color w:val="565656"/>
                <w:sz w:val="18"/>
              </w:rPr>
              <w:t>IR Code, 2020, s.30(5) proviso</w:t>
            </w:r>
          </w:p>
        </w:tc>
      </w:tr>
      <w:tr>
        <w:tc>
          <w:tcPr>
            <w:tcW w:type="dxa" w:w="6192"/>
          </w:tcPr>
          <w:p>
            <w:pPr>
              <w:spacing w:after="40"/>
            </w:pPr>
            <w:r/>
            <w:r>
              <w:rPr>
                <w:rFonts w:ascii="Calibri" w:hAnsi="Calibri"/>
                <w:color w:val="565656"/>
                <w:sz w:val="18"/>
              </w:rPr>
              <w:t>Certifiable only if every applicable First Schedule matter is provided for</w:t>
            </w:r>
          </w:p>
        </w:tc>
        <w:tc>
          <w:tcPr>
            <w:tcW w:type="dxa" w:w="3168"/>
          </w:tcPr>
          <w:p>
            <w:pPr>
              <w:spacing w:after="40"/>
            </w:pPr>
            <w:r/>
            <w:r>
              <w:rPr>
                <w:rFonts w:ascii="Calibri" w:hAnsi="Calibri"/>
                <w:color w:val="565656"/>
                <w:sz w:val="18"/>
              </w:rPr>
              <w:t>IR Code, 2020, s.30(6)(a)</w:t>
            </w:r>
          </w:p>
        </w:tc>
      </w:tr>
      <w:tr>
        <w:tc>
          <w:tcPr>
            <w:tcW w:type="dxa" w:w="6192"/>
          </w:tcPr>
          <w:p>
            <w:pPr>
              <w:spacing w:after="40"/>
            </w:pPr>
            <w:r/>
            <w:r>
              <w:rPr>
                <w:rFonts w:ascii="Calibri" w:hAnsi="Calibri"/>
                <w:color w:val="565656"/>
                <w:sz w:val="18"/>
              </w:rPr>
              <w:t>Fairness and reasonableness are judged against the model standing orders</w:t>
            </w:r>
          </w:p>
        </w:tc>
        <w:tc>
          <w:tcPr>
            <w:tcW w:type="dxa" w:w="3168"/>
          </w:tcPr>
          <w:p>
            <w:pPr>
              <w:spacing w:after="40"/>
            </w:pPr>
            <w:r/>
            <w:r>
              <w:rPr>
                <w:rFonts w:ascii="Calibri" w:hAnsi="Calibri"/>
                <w:color w:val="565656"/>
                <w:sz w:val="18"/>
              </w:rPr>
              <w:t>IR Code, 2020, s.30(7)</w:t>
            </w:r>
          </w:p>
        </w:tc>
      </w:tr>
      <w:tr>
        <w:tc>
          <w:tcPr>
            <w:tcW w:type="dxa" w:w="6192"/>
          </w:tcPr>
          <w:p>
            <w:pPr>
              <w:spacing w:after="40"/>
            </w:pPr>
            <w:r/>
            <w:r>
              <w:rPr>
                <w:rFonts w:ascii="Calibri" w:hAnsi="Calibri"/>
                <w:color w:val="565656"/>
                <w:sz w:val="18"/>
              </w:rPr>
              <w:t>Authenticated copies within seven days of certification</w:t>
            </w:r>
          </w:p>
        </w:tc>
        <w:tc>
          <w:tcPr>
            <w:tcW w:type="dxa" w:w="3168"/>
          </w:tcPr>
          <w:p>
            <w:pPr>
              <w:spacing w:after="40"/>
            </w:pPr>
            <w:r/>
            <w:r>
              <w:rPr>
                <w:rFonts w:ascii="Calibri" w:hAnsi="Calibri"/>
                <w:color w:val="565656"/>
                <w:sz w:val="18"/>
              </w:rPr>
              <w:t>IR Code, 2020, s.30(8)</w:t>
            </w:r>
          </w:p>
        </w:tc>
      </w:tr>
      <w:tr>
        <w:tc>
          <w:tcPr>
            <w:tcW w:type="dxa" w:w="6192"/>
          </w:tcPr>
          <w:p>
            <w:pPr>
              <w:spacing w:after="40"/>
            </w:pPr>
            <w:r/>
            <w:r>
              <w:rPr>
                <w:rFonts w:ascii="Calibri" w:hAnsi="Calibri"/>
                <w:color w:val="565656"/>
                <w:sz w:val="18"/>
              </w:rPr>
              <w:t>The draft is accompanied by a statement of particulars of workers</w:t>
            </w:r>
          </w:p>
        </w:tc>
        <w:tc>
          <w:tcPr>
            <w:tcW w:type="dxa" w:w="3168"/>
          </w:tcPr>
          <w:p>
            <w:pPr>
              <w:spacing w:after="40"/>
            </w:pPr>
            <w:r/>
            <w:r>
              <w:rPr>
                <w:rFonts w:ascii="Calibri" w:hAnsi="Calibri"/>
                <w:color w:val="565656"/>
                <w:sz w:val="18"/>
              </w:rPr>
              <w:t>IR Code, 2020, s.30(9)</w:t>
            </w:r>
          </w:p>
        </w:tc>
      </w:tr>
      <w:tr>
        <w:tc>
          <w:tcPr>
            <w:tcW w:type="dxa" w:w="6192"/>
          </w:tcPr>
          <w:p>
            <w:pPr>
              <w:spacing w:after="40"/>
            </w:pPr>
            <w:r/>
            <w:r>
              <w:rPr>
                <w:rFonts w:ascii="Calibri" w:hAnsi="Calibri"/>
                <w:color w:val="565656"/>
                <w:sz w:val="18"/>
              </w:rPr>
              <w:t>A group of employers in similar establishments may file a joint draft</w:t>
            </w:r>
          </w:p>
        </w:tc>
        <w:tc>
          <w:tcPr>
            <w:tcW w:type="dxa" w:w="3168"/>
          </w:tcPr>
          <w:p>
            <w:pPr>
              <w:spacing w:after="40"/>
            </w:pPr>
            <w:r/>
            <w:r>
              <w:rPr>
                <w:rFonts w:ascii="Calibri" w:hAnsi="Calibri"/>
                <w:color w:val="565656"/>
                <w:sz w:val="18"/>
              </w:rPr>
              <w:t>IR Code, 2020, s.30(10)</w:t>
            </w:r>
          </w:p>
        </w:tc>
      </w:tr>
      <w:tr>
        <w:tc>
          <w:tcPr>
            <w:tcW w:type="dxa" w:w="6192"/>
          </w:tcPr>
          <w:p>
            <w:pPr>
              <w:spacing w:after="40"/>
            </w:pPr>
            <w:r/>
            <w:r>
              <w:rPr>
                <w:rFonts w:ascii="Calibri" w:hAnsi="Calibri"/>
                <w:color w:val="565656"/>
                <w:sz w:val="18"/>
              </w:rPr>
              <w:t>Existing standing orders continue, so far as not inconsistent</w:t>
            </w:r>
          </w:p>
        </w:tc>
        <w:tc>
          <w:tcPr>
            <w:tcW w:type="dxa" w:w="3168"/>
          </w:tcPr>
          <w:p>
            <w:pPr>
              <w:spacing w:after="40"/>
            </w:pPr>
            <w:r/>
            <w:r>
              <w:rPr>
                <w:rFonts w:ascii="Calibri" w:hAnsi="Calibri"/>
                <w:color w:val="565656"/>
                <w:sz w:val="18"/>
              </w:rPr>
              <w:t>IR Code, 2020, s.30(11)</w:t>
            </w:r>
          </w:p>
        </w:tc>
      </w:tr>
      <w:tr>
        <w:tc>
          <w:tcPr>
            <w:tcW w:type="dxa" w:w="6192"/>
          </w:tcPr>
          <w:p>
            <w:pPr>
              <w:spacing w:after="40"/>
            </w:pPr>
            <w:r/>
            <w:r>
              <w:rPr>
                <w:rFonts w:ascii="Calibri" w:hAnsi="Calibri"/>
                <w:color w:val="565656"/>
                <w:sz w:val="18"/>
              </w:rPr>
              <w:t>Appeal within sixty days to the appellate authority</w:t>
            </w:r>
          </w:p>
        </w:tc>
        <w:tc>
          <w:tcPr>
            <w:tcW w:type="dxa" w:w="3168"/>
          </w:tcPr>
          <w:p>
            <w:pPr>
              <w:spacing w:after="40"/>
            </w:pPr>
            <w:r/>
            <w:r>
              <w:rPr>
                <w:rFonts w:ascii="Calibri" w:hAnsi="Calibri"/>
                <w:color w:val="565656"/>
                <w:sz w:val="18"/>
              </w:rPr>
              <w:t>IR Code, 2020, s.32</w:t>
            </w:r>
          </w:p>
        </w:tc>
      </w:tr>
      <w:tr>
        <w:tc>
          <w:tcPr>
            <w:tcW w:type="dxa" w:w="6192"/>
          </w:tcPr>
          <w:p>
            <w:pPr>
              <w:spacing w:after="40"/>
            </w:pPr>
            <w:r/>
            <w:r>
              <w:rPr>
                <w:rFonts w:ascii="Calibri" w:hAnsi="Calibri"/>
                <w:color w:val="565656"/>
                <w:sz w:val="18"/>
              </w:rPr>
              <w:t>They come into operation thirty days after copies are sent, or seven days after an appellate order</w:t>
            </w:r>
          </w:p>
        </w:tc>
        <w:tc>
          <w:tcPr>
            <w:tcW w:type="dxa" w:w="3168"/>
          </w:tcPr>
          <w:p>
            <w:pPr>
              <w:spacing w:after="40"/>
            </w:pPr>
            <w:r/>
            <w:r>
              <w:rPr>
                <w:rFonts w:ascii="Calibri" w:hAnsi="Calibri"/>
                <w:color w:val="565656"/>
                <w:sz w:val="18"/>
              </w:rPr>
              <w:t>IR Code, 2020, s.33(1)</w:t>
            </w:r>
          </w:p>
        </w:tc>
      </w:tr>
      <w:tr>
        <w:tc>
          <w:tcPr>
            <w:tcW w:type="dxa" w:w="6192"/>
          </w:tcPr>
          <w:p>
            <w:pPr>
              <w:spacing w:after="40"/>
            </w:pPr>
            <w:r/>
            <w:r>
              <w:rPr>
                <w:rFonts w:ascii="Calibri" w:hAnsi="Calibri"/>
                <w:color w:val="565656"/>
                <w:sz w:val="18"/>
              </w:rPr>
              <w:t>The employer maintains the text for the workers' information</w:t>
            </w:r>
          </w:p>
        </w:tc>
        <w:tc>
          <w:tcPr>
            <w:tcW w:type="dxa" w:w="3168"/>
          </w:tcPr>
          <w:p>
            <w:pPr>
              <w:spacing w:after="40"/>
            </w:pPr>
            <w:r/>
            <w:r>
              <w:rPr>
                <w:rFonts w:ascii="Calibri" w:hAnsi="Calibri"/>
                <w:color w:val="565656"/>
                <w:sz w:val="18"/>
              </w:rPr>
              <w:t>IR Code, 2020, s.33(2)</w:t>
            </w:r>
          </w:p>
        </w:tc>
      </w:tr>
      <w:tr>
        <w:tc>
          <w:tcPr>
            <w:tcW w:type="dxa" w:w="6192"/>
          </w:tcPr>
          <w:p>
            <w:pPr>
              <w:spacing w:after="40"/>
            </w:pPr>
            <w:r/>
            <w:r>
              <w:rPr>
                <w:rFonts w:ascii="Calibri" w:hAnsi="Calibri"/>
                <w:color w:val="565656"/>
                <w:sz w:val="18"/>
              </w:rPr>
              <w:t>The certifying officer keeps a register of certified standing orders</w:t>
            </w:r>
          </w:p>
        </w:tc>
        <w:tc>
          <w:tcPr>
            <w:tcW w:type="dxa" w:w="3168"/>
          </w:tcPr>
          <w:p>
            <w:pPr>
              <w:spacing w:after="40"/>
            </w:pPr>
            <w:r/>
            <w:r>
              <w:rPr>
                <w:rFonts w:ascii="Calibri" w:hAnsi="Calibri"/>
                <w:color w:val="565656"/>
                <w:sz w:val="18"/>
              </w:rPr>
              <w:t>IR Code, 2020, s.34</w:t>
            </w:r>
          </w:p>
        </w:tc>
      </w:tr>
      <w:tr>
        <w:tc>
          <w:tcPr>
            <w:tcW w:type="dxa" w:w="6192"/>
          </w:tcPr>
          <w:p>
            <w:pPr>
              <w:spacing w:after="40"/>
            </w:pPr>
            <w:r/>
            <w:r>
              <w:rPr>
                <w:rFonts w:ascii="Calibri" w:hAnsi="Calibri"/>
                <w:color w:val="565656"/>
                <w:sz w:val="18"/>
              </w:rPr>
              <w:t>No modification for six months, except by agreement</w:t>
            </w:r>
          </w:p>
        </w:tc>
        <w:tc>
          <w:tcPr>
            <w:tcW w:type="dxa" w:w="3168"/>
          </w:tcPr>
          <w:p>
            <w:pPr>
              <w:spacing w:after="40"/>
            </w:pPr>
            <w:r/>
            <w:r>
              <w:rPr>
                <w:rFonts w:ascii="Calibri" w:hAnsi="Calibri"/>
                <w:color w:val="565656"/>
                <w:sz w:val="18"/>
              </w:rPr>
              <w:t>IR Code, 2020, s.35(1)</w:t>
            </w:r>
          </w:p>
        </w:tc>
      </w:tr>
      <w:tr>
        <w:tc>
          <w:tcPr>
            <w:tcW w:type="dxa" w:w="6192"/>
          </w:tcPr>
          <w:p>
            <w:pPr>
              <w:spacing w:after="40"/>
            </w:pPr>
            <w:r/>
            <w:r>
              <w:rPr>
                <w:rFonts w:ascii="Calibri" w:hAnsi="Calibri"/>
                <w:color w:val="565656"/>
                <w:sz w:val="18"/>
              </w:rPr>
              <w:t>No oral evidence may vary or contradict certified standing orders in any Court</w:t>
            </w:r>
          </w:p>
        </w:tc>
        <w:tc>
          <w:tcPr>
            <w:tcW w:type="dxa" w:w="3168"/>
          </w:tcPr>
          <w:p>
            <w:pPr>
              <w:spacing w:after="40"/>
            </w:pPr>
            <w:r/>
            <w:r>
              <w:rPr>
                <w:rFonts w:ascii="Calibri" w:hAnsi="Calibri"/>
                <w:color w:val="565656"/>
                <w:sz w:val="18"/>
              </w:rPr>
              <w:t>IR Code, 2020, s.36</w:t>
            </w:r>
          </w:p>
        </w:tc>
      </w:tr>
      <w:tr>
        <w:tc>
          <w:tcPr>
            <w:tcW w:type="dxa" w:w="6192"/>
          </w:tcPr>
          <w:p>
            <w:pPr>
              <w:spacing w:after="40"/>
            </w:pPr>
            <w:r/>
            <w:r>
              <w:rPr>
                <w:rFonts w:ascii="Calibri" w:hAnsi="Calibri"/>
                <w:color w:val="565656"/>
                <w:sz w:val="18"/>
              </w:rPr>
              <w:t>Questions of application or interpretation go to the Tribunal, whose decision is final</w:t>
            </w:r>
          </w:p>
        </w:tc>
        <w:tc>
          <w:tcPr>
            <w:tcW w:type="dxa" w:w="3168"/>
          </w:tcPr>
          <w:p>
            <w:pPr>
              <w:spacing w:after="40"/>
            </w:pPr>
            <w:r/>
            <w:r>
              <w:rPr>
                <w:rFonts w:ascii="Calibri" w:hAnsi="Calibri"/>
                <w:color w:val="565656"/>
                <w:sz w:val="18"/>
              </w:rPr>
              <w:t>IR Code, 2020, s.37</w:t>
            </w:r>
          </w:p>
        </w:tc>
      </w:tr>
      <w:tr>
        <w:tc>
          <w:tcPr>
            <w:tcW w:type="dxa" w:w="6192"/>
          </w:tcPr>
          <w:p>
            <w:pPr>
              <w:spacing w:after="40"/>
            </w:pPr>
            <w:r/>
            <w:r>
              <w:rPr>
                <w:rFonts w:ascii="Calibri" w:hAnsi="Calibri"/>
                <w:color w:val="565656"/>
                <w:sz w:val="18"/>
              </w:rPr>
              <w:t>A suspension inquiry is ordinarily completed within ninety days</w:t>
            </w:r>
          </w:p>
        </w:tc>
        <w:tc>
          <w:tcPr>
            <w:tcW w:type="dxa" w:w="3168"/>
          </w:tcPr>
          <w:p>
            <w:pPr>
              <w:spacing w:after="40"/>
            </w:pPr>
            <w:r/>
            <w:r>
              <w:rPr>
                <w:rFonts w:ascii="Calibri" w:hAnsi="Calibri"/>
                <w:color w:val="565656"/>
                <w:sz w:val="18"/>
              </w:rPr>
              <w:t>IR Code, 2020, s.38(1)</w:t>
            </w:r>
          </w:p>
        </w:tc>
      </w:tr>
      <w:tr>
        <w:tc>
          <w:tcPr>
            <w:tcW w:type="dxa" w:w="6192"/>
          </w:tcPr>
          <w:p>
            <w:pPr>
              <w:spacing w:after="40"/>
            </w:pPr>
            <w:r/>
            <w:r>
              <w:rPr>
                <w:rFonts w:ascii="Calibri" w:hAnsi="Calibri"/>
                <w:color w:val="565656"/>
                <w:sz w:val="18"/>
              </w:rPr>
              <w:t>The standing orders SHALL provide subsistence allowance</w:t>
            </w:r>
          </w:p>
        </w:tc>
        <w:tc>
          <w:tcPr>
            <w:tcW w:type="dxa" w:w="3168"/>
          </w:tcPr>
          <w:p>
            <w:pPr>
              <w:spacing w:after="40"/>
            </w:pPr>
            <w:r/>
            <w:r>
              <w:rPr>
                <w:rFonts w:ascii="Calibri" w:hAnsi="Calibri"/>
                <w:color w:val="565656"/>
                <w:sz w:val="18"/>
              </w:rPr>
              <w:t>IR Code, 2020, s.38(2)</w:t>
            </w:r>
          </w:p>
        </w:tc>
      </w:tr>
      <w:tr>
        <w:tc>
          <w:tcPr>
            <w:tcW w:type="dxa" w:w="6192"/>
          </w:tcPr>
          <w:p>
            <w:pPr>
              <w:spacing w:after="40"/>
            </w:pPr>
            <w:r/>
            <w:r>
              <w:rPr>
                <w:rFonts w:ascii="Calibri" w:hAnsi="Calibri"/>
                <w:color w:val="565656"/>
                <w:sz w:val="18"/>
              </w:rPr>
              <w:t>Fifty per cent for the first ninety days, seventy-five thereafter</w:t>
            </w:r>
          </w:p>
        </w:tc>
        <w:tc>
          <w:tcPr>
            <w:tcW w:type="dxa" w:w="3168"/>
          </w:tcPr>
          <w:p>
            <w:pPr>
              <w:spacing w:after="40"/>
            </w:pPr>
            <w:r/>
            <w:r>
              <w:rPr>
                <w:rFonts w:ascii="Calibri" w:hAnsi="Calibri"/>
                <w:color w:val="565656"/>
                <w:sz w:val="18"/>
              </w:rPr>
              <w:t>IR Code, 2020, s.38(3)</w:t>
            </w:r>
          </w:p>
        </w:tc>
      </w:tr>
      <w:tr>
        <w:tc>
          <w:tcPr>
            <w:tcW w:type="dxa" w:w="6192"/>
          </w:tcPr>
          <w:p>
            <w:pPr>
              <w:spacing w:after="40"/>
            </w:pPr>
            <w:r/>
            <w:r>
              <w:rPr>
                <w:rFonts w:ascii="Calibri" w:hAnsi="Calibri"/>
                <w:color w:val="565656"/>
                <w:sz w:val="18"/>
              </w:rPr>
              <w:t>The appropriate Government may exempt an establishment or class</w:t>
            </w:r>
          </w:p>
        </w:tc>
        <w:tc>
          <w:tcPr>
            <w:tcW w:type="dxa" w:w="3168"/>
          </w:tcPr>
          <w:p>
            <w:pPr>
              <w:spacing w:after="40"/>
            </w:pPr>
            <w:r/>
            <w:r>
              <w:rPr>
                <w:rFonts w:ascii="Calibri" w:hAnsi="Calibri"/>
                <w:color w:val="565656"/>
                <w:sz w:val="18"/>
              </w:rPr>
              <w:t>IR Code, 2020, s.39</w:t>
            </w:r>
          </w:p>
        </w:tc>
      </w:tr>
      <w:tr>
        <w:tc>
          <w:tcPr>
            <w:tcW w:type="dxa" w:w="6192"/>
          </w:tcPr>
          <w:p>
            <w:pPr>
              <w:spacing w:after="40"/>
            </w:pPr>
            <w:r/>
            <w:r>
              <w:rPr>
                <w:rFonts w:ascii="Calibri" w:hAnsi="Calibri"/>
                <w:color w:val="565656"/>
                <w:sz w:val="18"/>
              </w:rPr>
              <w:t>The eleven matters standing orders must provide for</w:t>
            </w:r>
          </w:p>
        </w:tc>
        <w:tc>
          <w:tcPr>
            <w:tcW w:type="dxa" w:w="3168"/>
          </w:tcPr>
          <w:p>
            <w:pPr>
              <w:spacing w:after="40"/>
            </w:pPr>
            <w:r/>
            <w:r>
              <w:rPr>
                <w:rFonts w:ascii="Calibri" w:hAnsi="Calibri"/>
                <w:color w:val="565656"/>
                <w:sz w:val="18"/>
              </w:rPr>
              <w:t>IR Code, 2020, First Schedule</w:t>
            </w:r>
          </w:p>
        </w:tc>
      </w:tr>
      <w:tr>
        <w:tc>
          <w:tcPr>
            <w:tcW w:type="dxa" w:w="6192"/>
          </w:tcPr>
          <w:p>
            <w:pPr>
              <w:spacing w:after="40"/>
            </w:pPr>
            <w:r/>
            <w:r>
              <w:rPr>
                <w:rFonts w:ascii="Calibri" w:hAnsi="Calibri"/>
                <w:color w:val="565656"/>
                <w:sz w:val="18"/>
              </w:rPr>
              <w:t>The Code commenced on 21-Nov-2025, which started the six-month clock</w:t>
            </w:r>
          </w:p>
        </w:tc>
        <w:tc>
          <w:tcPr>
            <w:tcW w:type="dxa" w:w="3168"/>
          </w:tcPr>
          <w:p>
            <w:pPr>
              <w:spacing w:after="40"/>
            </w:pPr>
            <w:r/>
            <w:r>
              <w:rPr>
                <w:rFonts w:ascii="Calibri" w:hAnsi="Calibri"/>
                <w:color w:val="565656"/>
                <w:sz w:val="18"/>
              </w:rPr>
              <w:t>S.O. 5320(E), Gazette of India, 21-Nov-2025</w:t>
            </w:r>
          </w:p>
        </w:tc>
      </w:tr>
      <w:tr>
        <w:tc>
          <w:tcPr>
            <w:tcW w:type="dxa" w:w="6192"/>
          </w:tcPr>
          <w:p>
            <w:pPr>
              <w:spacing w:after="40"/>
            </w:pPr>
            <w:r/>
            <w:r>
              <w:rPr>
                <w:rFonts w:ascii="Calibri" w:hAnsi="Calibri"/>
                <w:color w:val="565656"/>
                <w:sz w:val="18"/>
              </w:rPr>
              <w:t>The model orders for the mine, manufacturing and service sectors are the Model Standing Orders, 2026</w:t>
            </w:r>
          </w:p>
        </w:tc>
        <w:tc>
          <w:tcPr>
            <w:tcW w:type="dxa" w:w="3168"/>
          </w:tcPr>
          <w:p>
            <w:pPr>
              <w:spacing w:after="40"/>
            </w:pPr>
            <w:r/>
            <w:r>
              <w:rPr>
                <w:rFonts w:ascii="Calibri" w:hAnsi="Calibri"/>
                <w:color w:val="565656"/>
                <w:sz w:val="18"/>
              </w:rPr>
              <w:t>IR (Central) Rules, 2026, rule 10</w:t>
            </w:r>
          </w:p>
        </w:tc>
      </w:tr>
      <w:tr>
        <w:tc>
          <w:tcPr>
            <w:tcW w:type="dxa" w:w="6192"/>
          </w:tcPr>
          <w:p>
            <w:pPr>
              <w:spacing w:after="40"/>
            </w:pPr>
            <w:r/>
            <w:r>
              <w:rPr>
                <w:rFonts w:ascii="Calibri" w:hAnsi="Calibri"/>
                <w:color w:val="565656"/>
                <w:sz w:val="18"/>
              </w:rPr>
              <w:t>Inform the certifying officer of the SPECIFIC DATE of adoption, electronically, in person or by speed post</w:t>
            </w:r>
          </w:p>
        </w:tc>
        <w:tc>
          <w:tcPr>
            <w:tcW w:type="dxa" w:w="3168"/>
          </w:tcPr>
          <w:p>
            <w:pPr>
              <w:spacing w:after="40"/>
            </w:pPr>
            <w:r/>
            <w:r>
              <w:rPr>
                <w:rFonts w:ascii="Calibri" w:hAnsi="Calibri"/>
                <w:color w:val="565656"/>
                <w:sz w:val="18"/>
              </w:rPr>
              <w:t>IR (Central) Rules, 2026, rule 10(1)</w:t>
            </w:r>
          </w:p>
        </w:tc>
      </w:tr>
      <w:tr>
        <w:tc>
          <w:tcPr>
            <w:tcW w:type="dxa" w:w="6192"/>
          </w:tcPr>
          <w:p>
            <w:pPr>
              <w:spacing w:after="40"/>
            </w:pPr>
            <w:r/>
            <w:r>
              <w:rPr>
                <w:rFonts w:ascii="Calibri" w:hAnsi="Calibri"/>
                <w:color w:val="565656"/>
                <w:sz w:val="18"/>
              </w:rPr>
              <w:t>Adopted model orders apply to the establishment AND ALL ITS UNITS</w:t>
            </w:r>
          </w:p>
        </w:tc>
        <w:tc>
          <w:tcPr>
            <w:tcW w:type="dxa" w:w="3168"/>
          </w:tcPr>
          <w:p>
            <w:pPr>
              <w:spacing w:after="40"/>
            </w:pPr>
            <w:r/>
            <w:r>
              <w:rPr>
                <w:rFonts w:ascii="Calibri" w:hAnsi="Calibri"/>
                <w:color w:val="565656"/>
                <w:sz w:val="18"/>
              </w:rPr>
              <w:t>IR (Central) Rules, 2026, rule 10(2)</w:t>
            </w:r>
          </w:p>
        </w:tc>
      </w:tr>
      <w:tr>
        <w:tc>
          <w:tcPr>
            <w:tcW w:type="dxa" w:w="6192"/>
          </w:tcPr>
          <w:p>
            <w:pPr>
              <w:spacing w:after="40"/>
            </w:pPr>
            <w:r/>
            <w:r>
              <w:rPr>
                <w:rFonts w:ascii="Calibri" w:hAnsi="Calibri"/>
                <w:color w:val="565656"/>
                <w:sz w:val="18"/>
              </w:rPr>
              <w:t>Adopted model orders come into force FROM THE DATE OF ADOPTION, so there is no waiting period</w:t>
            </w:r>
          </w:p>
        </w:tc>
        <w:tc>
          <w:tcPr>
            <w:tcW w:type="dxa" w:w="3168"/>
          </w:tcPr>
          <w:p>
            <w:pPr>
              <w:spacing w:after="40"/>
            </w:pPr>
            <w:r/>
            <w:r>
              <w:rPr>
                <w:rFonts w:ascii="Calibri" w:hAnsi="Calibri"/>
                <w:color w:val="565656"/>
                <w:sz w:val="18"/>
              </w:rPr>
              <w:t>IR (Central) Rules, 2026, rule 10(6)</w:t>
            </w:r>
          </w:p>
        </w:tc>
      </w:tr>
      <w:tr>
        <w:tc>
          <w:tcPr>
            <w:tcW w:type="dxa" w:w="6192"/>
          </w:tcPr>
          <w:p>
            <w:pPr>
              <w:spacing w:after="40"/>
            </w:pPr>
            <w:r/>
            <w:r>
              <w:rPr>
                <w:rFonts w:ascii="Calibri" w:hAnsi="Calibri"/>
                <w:color w:val="565656"/>
                <w:sz w:val="18"/>
              </w:rPr>
              <w:t>The Central Government is the appropriate Government for railways, mines, oil fields, major ports, air transport, telecommunication, banking, insurance and central public sector undertakings</w:t>
            </w:r>
          </w:p>
        </w:tc>
        <w:tc>
          <w:tcPr>
            <w:tcW w:type="dxa" w:w="3168"/>
          </w:tcPr>
          <w:p>
            <w:pPr>
              <w:spacing w:after="40"/>
            </w:pPr>
            <w:r/>
            <w:r>
              <w:rPr>
                <w:rFonts w:ascii="Calibri" w:hAnsi="Calibri"/>
                <w:color w:val="565656"/>
                <w:sz w:val="18"/>
              </w:rPr>
              <w:t>IR Code, 2020, s.2(b)(i)</w:t>
            </w:r>
          </w:p>
        </w:tc>
      </w:tr>
      <w:tr>
        <w:tc>
          <w:tcPr>
            <w:tcW w:type="dxa" w:w="6192"/>
          </w:tcPr>
          <w:p>
            <w:pPr>
              <w:spacing w:after="40"/>
            </w:pPr>
            <w:r/>
            <w:r>
              <w:rPr>
                <w:rFonts w:ascii="Calibri" w:hAnsi="Calibri"/>
                <w:color w:val="565656"/>
                <w:sz w:val="18"/>
              </w:rPr>
              <w:t>For EVERY OTHER industrial establishment it is the State Government, so rules 10 to 18 above are the central shape and your State prescribes its own</w:t>
            </w:r>
          </w:p>
        </w:tc>
        <w:tc>
          <w:tcPr>
            <w:tcW w:type="dxa" w:w="3168"/>
          </w:tcPr>
          <w:p>
            <w:pPr>
              <w:spacing w:after="40"/>
            </w:pPr>
            <w:r/>
            <w:r>
              <w:rPr>
                <w:rFonts w:ascii="Calibri" w:hAnsi="Calibri"/>
                <w:color w:val="565656"/>
                <w:sz w:val="18"/>
              </w:rPr>
              <w:t>IR Code, 2020, s.2(b)(ii)</w:t>
            </w:r>
          </w:p>
        </w:tc>
      </w:tr>
      <w:tr>
        <w:tc>
          <w:tcPr>
            <w:tcW w:type="dxa" w:w="6192"/>
          </w:tcPr>
          <w:p>
            <w:pPr>
              <w:spacing w:after="40"/>
            </w:pPr>
            <w:r/>
            <w:r>
              <w:rPr>
                <w:rFonts w:ascii="Calibri" w:hAnsi="Calibri"/>
                <w:color w:val="565656"/>
                <w:sz w:val="18"/>
              </w:rPr>
              <w:t>Section 104(1) AS ENACTED only let the Central Government specify the repeal in the commencement notification, and S.O. 5320(E) did not</w:t>
            </w:r>
          </w:p>
        </w:tc>
        <w:tc>
          <w:tcPr>
            <w:tcW w:type="dxa" w:w="3168"/>
          </w:tcPr>
          <w:p>
            <w:pPr>
              <w:spacing w:after="40"/>
            </w:pPr>
            <w:r/>
            <w:r>
              <w:rPr>
                <w:rFonts w:ascii="Calibri" w:hAnsi="Calibri"/>
                <w:color w:val="565656"/>
                <w:sz w:val="18"/>
              </w:rPr>
              <w:t>IR Code, 2020, s.104(1) as enacted; S.O. 5320(E), 21-Nov-2025</w:t>
            </w:r>
          </w:p>
        </w:tc>
      </w:tr>
      <w:tr>
        <w:tc>
          <w:tcPr>
            <w:tcW w:type="dxa" w:w="6192"/>
          </w:tcPr>
          <w:p>
            <w:pPr>
              <w:spacing w:after="40"/>
            </w:pPr>
            <w:r/>
            <w:r>
              <w:rPr>
                <w:rFonts w:ascii="Calibri" w:hAnsi="Calibri"/>
                <w:color w:val="565656"/>
                <w:sz w:val="18"/>
              </w:rPr>
              <w:t>Section 104(1) was SUBSTITUTED so the Trade Unions Act 1926, the Industrial Employment (Standing Orders) Act 1946 and the Industrial Disputes Act 1947 stand repealed on and from the appointed date</w:t>
            </w:r>
          </w:p>
        </w:tc>
        <w:tc>
          <w:tcPr>
            <w:tcW w:type="dxa" w:w="3168"/>
          </w:tcPr>
          <w:p>
            <w:pPr>
              <w:spacing w:after="40"/>
            </w:pPr>
            <w:r/>
            <w:r>
              <w:rPr>
                <w:rFonts w:ascii="Calibri" w:hAnsi="Calibri"/>
                <w:color w:val="565656"/>
                <w:sz w:val="18"/>
              </w:rPr>
              <w:t>IR Code (Amendment) Act, 2026 (No. 1 of 2026), s.2, assented 16-Feb-2026, deemed in force from 21-Nov-2025</w:t>
            </w:r>
          </w:p>
        </w:tc>
      </w:tr>
      <w:tr>
        <w:tc>
          <w:tcPr>
            <w:tcW w:type="dxa" w:w="6192"/>
          </w:tcPr>
          <w:p>
            <w:pPr>
              <w:spacing w:after="40"/>
            </w:pPr>
            <w:r/>
            <w:r>
              <w:rPr>
                <w:rFonts w:ascii="Calibri" w:hAnsi="Calibri"/>
                <w:color w:val="565656"/>
                <w:sz w:val="18"/>
              </w:rPr>
              <w:t>Tribunals and statutory authorities under the repealed Acts CONTINUE to function until they become functional under the Code</w:t>
            </w:r>
          </w:p>
        </w:tc>
        <w:tc>
          <w:tcPr>
            <w:tcW w:type="dxa" w:w="3168"/>
          </w:tcPr>
          <w:p>
            <w:pPr>
              <w:spacing w:after="40"/>
            </w:pPr>
            <w:r/>
            <w:r>
              <w:rPr>
                <w:rFonts w:ascii="Calibri" w:hAnsi="Calibri"/>
                <w:color w:val="565656"/>
                <w:sz w:val="18"/>
              </w:rPr>
              <w:t>IR Code, 2020, s.104(1A), inserted by Act 1 of 2026</w:t>
            </w:r>
          </w:p>
        </w:tc>
      </w:tr>
      <w:tr>
        <w:tc>
          <w:tcPr>
            <w:tcW w:type="dxa" w:w="6192"/>
          </w:tcPr>
          <w:p>
            <w:pPr>
              <w:spacing w:after="40"/>
            </w:pPr>
            <w:r/>
            <w:r>
              <w:rPr>
                <w:rFonts w:ascii="Calibri" w:hAnsi="Calibri"/>
                <w:color w:val="565656"/>
                <w:sz w:val="18"/>
              </w:rPr>
              <w:t>Failing to submit draft standing orders, or modifying them otherwise than under section 35, is punishable with ₹50,000 to ₹2,00,000 and ₹2,000 per day while it continues</w:t>
            </w:r>
          </w:p>
        </w:tc>
        <w:tc>
          <w:tcPr>
            <w:tcW w:type="dxa" w:w="3168"/>
          </w:tcPr>
          <w:p>
            <w:pPr>
              <w:spacing w:after="40"/>
            </w:pPr>
            <w:r/>
            <w:r>
              <w:rPr>
                <w:rFonts w:ascii="Calibri" w:hAnsi="Calibri"/>
                <w:color w:val="565656"/>
                <w:sz w:val="18"/>
              </w:rPr>
              <w:t>IR Code, 2020, s.86(10)</w:t>
            </w:r>
          </w:p>
        </w:tc>
      </w:tr>
      <w:tr>
        <w:tc>
          <w:tcPr>
            <w:tcW w:type="dxa" w:w="6192"/>
          </w:tcPr>
          <w:p>
            <w:pPr>
              <w:spacing w:after="40"/>
            </w:pPr>
            <w:r/>
            <w:r>
              <w:rPr>
                <w:rFonts w:ascii="Calibri" w:hAnsi="Calibri"/>
                <w:color w:val="565656"/>
                <w:sz w:val="18"/>
              </w:rPr>
              <w:t>Acting in contravention of your own finally certified standing orders is punishable with ₹1,00,000 to ₹2,00,000</w:t>
            </w:r>
          </w:p>
        </w:tc>
        <w:tc>
          <w:tcPr>
            <w:tcW w:type="dxa" w:w="3168"/>
          </w:tcPr>
          <w:p>
            <w:pPr>
              <w:spacing w:after="40"/>
            </w:pPr>
            <w:r/>
            <w:r>
              <w:rPr>
                <w:rFonts w:ascii="Calibri" w:hAnsi="Calibri"/>
                <w:color w:val="565656"/>
                <w:sz w:val="18"/>
              </w:rPr>
              <w:t>IR Code, 2020, s.86(11)</w:t>
            </w:r>
          </w:p>
        </w:tc>
      </w:tr>
      <w:tr>
        <w:tc>
          <w:tcPr>
            <w:tcW w:type="dxa" w:w="6192"/>
          </w:tcPr>
          <w:p>
            <w:pPr>
              <w:spacing w:after="40"/>
            </w:pPr>
            <w:r/>
            <w:r>
              <w:rPr>
                <w:rFonts w:ascii="Calibri" w:hAnsi="Calibri"/>
                <w:color w:val="565656"/>
                <w:sz w:val="18"/>
              </w:rPr>
              <w:t>A repeat is ₹2,00,000 to ₹4,00,000, or up to three months, or both</w:t>
            </w:r>
          </w:p>
        </w:tc>
        <w:tc>
          <w:tcPr>
            <w:tcW w:type="dxa" w:w="3168"/>
          </w:tcPr>
          <w:p>
            <w:pPr>
              <w:spacing w:after="40"/>
            </w:pPr>
            <w:r/>
            <w:r>
              <w:rPr>
                <w:rFonts w:ascii="Calibri" w:hAnsi="Calibri"/>
                <w:color w:val="565656"/>
                <w:sz w:val="18"/>
              </w:rPr>
              <w:t>IR Code, 2020, s.86(12)</w:t>
            </w:r>
          </w:p>
        </w:tc>
      </w:tr>
      <w:tr>
        <w:tc>
          <w:tcPr>
            <w:tcW w:type="dxa" w:w="6192"/>
          </w:tcPr>
          <w:p>
            <w:pPr>
              <w:spacing w:after="40"/>
            </w:pPr>
            <w:r/>
            <w:r>
              <w:rPr>
                <w:rFonts w:ascii="Calibri" w:hAnsi="Calibri"/>
                <w:color w:val="565656"/>
                <w:sz w:val="18"/>
              </w:rPr>
              <w:t>An unfair labour practice is punishable with ₹10,000 to ₹2,00,000, and a repeat with ₹50,000 to ₹5,00,000 or up to three months</w:t>
            </w:r>
          </w:p>
        </w:tc>
        <w:tc>
          <w:tcPr>
            <w:tcW w:type="dxa" w:w="3168"/>
          </w:tcPr>
          <w:p>
            <w:pPr>
              <w:spacing w:after="40"/>
            </w:pPr>
            <w:r/>
            <w:r>
              <w:rPr>
                <w:rFonts w:ascii="Calibri" w:hAnsi="Calibri"/>
                <w:color w:val="565656"/>
                <w:sz w:val="18"/>
              </w:rPr>
              <w:t>IR Code, 2020, s.86(5) and (6)</w:t>
            </w:r>
          </w:p>
        </w:tc>
      </w:tr>
      <w:tr>
        <w:tc>
          <w:tcPr>
            <w:tcW w:type="dxa" w:w="6192"/>
          </w:tcPr>
          <w:p>
            <w:pPr>
              <w:spacing w:after="40"/>
            </w:pPr>
            <w:r/>
            <w:r>
              <w:rPr>
                <w:rFonts w:ascii="Calibri" w:hAnsi="Calibri"/>
                <w:color w:val="565656"/>
                <w:sz w:val="18"/>
              </w:rPr>
              <w:t>Dismissing a worker for taking part in a strike that is not illegal is an unfair labour practice</w:t>
            </w:r>
          </w:p>
        </w:tc>
        <w:tc>
          <w:tcPr>
            <w:tcW w:type="dxa" w:w="3168"/>
          </w:tcPr>
          <w:p>
            <w:pPr>
              <w:spacing w:after="40"/>
            </w:pPr>
            <w:r/>
            <w:r>
              <w:rPr>
                <w:rFonts w:ascii="Calibri" w:hAnsi="Calibri"/>
                <w:color w:val="565656"/>
                <w:sz w:val="18"/>
              </w:rPr>
              <w:t>IR Code, 2020, Second Schedule, Part I, item 4(b)</w:t>
            </w:r>
          </w:p>
        </w:tc>
      </w:tr>
      <w:tr>
        <w:tc>
          <w:tcPr>
            <w:tcW w:type="dxa" w:w="6192"/>
          </w:tcPr>
          <w:p>
            <w:pPr>
              <w:spacing w:after="40"/>
            </w:pPr>
            <w:r/>
            <w:r>
              <w:rPr>
                <w:rFonts w:ascii="Calibri" w:hAnsi="Calibri"/>
                <w:color w:val="565656"/>
                <w:sz w:val="18"/>
              </w:rPr>
              <w:t>So is dismissal in utter disregard of natural justice in the domestic enquiry, or with undue haste</w:t>
            </w:r>
          </w:p>
        </w:tc>
        <w:tc>
          <w:tcPr>
            <w:tcW w:type="dxa" w:w="3168"/>
          </w:tcPr>
          <w:p>
            <w:pPr>
              <w:spacing w:after="40"/>
            </w:pPr>
            <w:r/>
            <w:r>
              <w:rPr>
                <w:rFonts w:ascii="Calibri" w:hAnsi="Calibri"/>
                <w:color w:val="565656"/>
                <w:sz w:val="18"/>
              </w:rPr>
              <w:t>IR Code, 2020, Second Schedule, Part I, item 5(f)</w:t>
            </w:r>
          </w:p>
        </w:tc>
      </w:tr>
      <w:tr>
        <w:tc>
          <w:tcPr>
            <w:tcW w:type="dxa" w:w="6192"/>
          </w:tcPr>
          <w:p>
            <w:pPr>
              <w:spacing w:after="40"/>
            </w:pPr>
            <w:r/>
            <w:r>
              <w:rPr>
                <w:rFonts w:ascii="Calibri" w:hAnsi="Calibri"/>
                <w:color w:val="565656"/>
                <w:sz w:val="18"/>
              </w:rPr>
              <w:t>And so is punishment disproportionate to a minor or technical misconduct</w:t>
            </w:r>
          </w:p>
        </w:tc>
        <w:tc>
          <w:tcPr>
            <w:tcW w:type="dxa" w:w="3168"/>
          </w:tcPr>
          <w:p>
            <w:pPr>
              <w:spacing w:after="40"/>
            </w:pPr>
            <w:r/>
            <w:r>
              <w:rPr>
                <w:rFonts w:ascii="Calibri" w:hAnsi="Calibri"/>
                <w:color w:val="565656"/>
                <w:sz w:val="18"/>
              </w:rPr>
              <w:t>IR Code, 2020, Second Schedule, Part I, item 5(g)</w:t>
            </w:r>
          </w:p>
        </w:tc>
      </w:tr>
      <w:tr>
        <w:tc>
          <w:tcPr>
            <w:tcW w:type="dxa" w:w="6192"/>
          </w:tcPr>
          <w:p>
            <w:pPr>
              <w:spacing w:after="40"/>
            </w:pPr>
            <w:r/>
            <w:r>
              <w:rPr>
                <w:rFonts w:ascii="Calibri" w:hAnsi="Calibri"/>
                <w:color w:val="565656"/>
                <w:sz w:val="18"/>
              </w:rPr>
              <w:t>No observation within THIRTY days and the adopted orders are deemed certified</w:t>
            </w:r>
          </w:p>
        </w:tc>
        <w:tc>
          <w:tcPr>
            <w:tcW w:type="dxa" w:w="3168"/>
          </w:tcPr>
          <w:p>
            <w:pPr>
              <w:spacing w:after="40"/>
            </w:pPr>
            <w:r/>
            <w:r>
              <w:rPr>
                <w:rFonts w:ascii="Calibri" w:hAnsi="Calibri"/>
                <w:color w:val="565656"/>
                <w:sz w:val="18"/>
              </w:rPr>
              <w:t>IR (Central) Rules, 2026, rule 10(5)</w:t>
            </w:r>
          </w:p>
        </w:tc>
      </w:tr>
      <w:tr>
        <w:tc>
          <w:tcPr>
            <w:tcW w:type="dxa" w:w="6192"/>
          </w:tcPr>
          <w:p>
            <w:pPr>
              <w:spacing w:after="40"/>
            </w:pPr>
            <w:r/>
            <w:r>
              <w:rPr>
                <w:rFonts w:ascii="Calibri" w:hAnsi="Calibri"/>
                <w:color w:val="565656"/>
                <w:sz w:val="18"/>
              </w:rPr>
              <w:t>An observation is answered within thirty days, with a compliance report</w:t>
            </w:r>
          </w:p>
        </w:tc>
        <w:tc>
          <w:tcPr>
            <w:tcW w:type="dxa" w:w="3168"/>
          </w:tcPr>
          <w:p>
            <w:pPr>
              <w:spacing w:after="40"/>
            </w:pPr>
            <w:r/>
            <w:r>
              <w:rPr>
                <w:rFonts w:ascii="Calibri" w:hAnsi="Calibri"/>
                <w:color w:val="565656"/>
                <w:sz w:val="18"/>
              </w:rPr>
              <w:t>IR (Central) Rules, 2026, rule 10(4)</w:t>
            </w:r>
          </w:p>
        </w:tc>
      </w:tr>
      <w:tr>
        <w:tc>
          <w:tcPr>
            <w:tcW w:type="dxa" w:w="6192"/>
          </w:tcPr>
          <w:p>
            <w:pPr>
              <w:spacing w:after="40"/>
            </w:pPr>
            <w:r/>
            <w:r>
              <w:rPr>
                <w:rFonts w:ascii="Calibri" w:hAnsi="Calibri"/>
                <w:color w:val="565656"/>
                <w:sz w:val="18"/>
              </w:rPr>
              <w:t>Where there is no Trade Union the certifying officer calls a meeting of workers to choose representatives</w:t>
            </w:r>
          </w:p>
        </w:tc>
        <w:tc>
          <w:tcPr>
            <w:tcW w:type="dxa" w:w="3168"/>
          </w:tcPr>
          <w:p>
            <w:pPr>
              <w:spacing w:after="40"/>
            </w:pPr>
            <w:r/>
            <w:r>
              <w:rPr>
                <w:rFonts w:ascii="Calibri" w:hAnsi="Calibri"/>
                <w:color w:val="565656"/>
                <w:sz w:val="18"/>
              </w:rPr>
              <w:t>IR (Central) Rules, 2026, rule 11(1)</w:t>
            </w:r>
          </w:p>
        </w:tc>
      </w:tr>
      <w:tr>
        <w:tc>
          <w:tcPr>
            <w:tcW w:type="dxa" w:w="6192"/>
          </w:tcPr>
          <w:p>
            <w:pPr>
              <w:spacing w:after="40"/>
            </w:pPr>
            <w:r/>
            <w:r>
              <w:rPr>
                <w:rFonts w:ascii="Calibri" w:hAnsi="Calibri"/>
                <w:color w:val="565656"/>
                <w:sz w:val="18"/>
              </w:rPr>
              <w:t>Comments on the draft are due within fifteen days of the notice</w:t>
            </w:r>
          </w:p>
        </w:tc>
        <w:tc>
          <w:tcPr>
            <w:tcW w:type="dxa" w:w="3168"/>
          </w:tcPr>
          <w:p>
            <w:pPr>
              <w:spacing w:after="40"/>
            </w:pPr>
            <w:r/>
            <w:r>
              <w:rPr>
                <w:rFonts w:ascii="Calibri" w:hAnsi="Calibri"/>
                <w:color w:val="565656"/>
                <w:sz w:val="18"/>
              </w:rPr>
              <w:t>IR (Central) Rules, 2026, rule 11</w:t>
            </w:r>
          </w:p>
        </w:tc>
      </w:tr>
      <w:tr>
        <w:tc>
          <w:tcPr>
            <w:tcW w:type="dxa" w:w="6192"/>
          </w:tcPr>
          <w:p>
            <w:pPr>
              <w:spacing w:after="40"/>
            </w:pPr>
            <w:r/>
            <w:r>
              <w:rPr>
                <w:rFonts w:ascii="Calibri" w:hAnsi="Calibri"/>
                <w:color w:val="565656"/>
                <w:sz w:val="18"/>
              </w:rPr>
              <w:t>The draft goes to them in the language spoken and understood by the majority of the workers</w:t>
            </w:r>
          </w:p>
        </w:tc>
        <w:tc>
          <w:tcPr>
            <w:tcW w:type="dxa" w:w="3168"/>
          </w:tcPr>
          <w:p>
            <w:pPr>
              <w:spacing w:after="40"/>
            </w:pPr>
            <w:r/>
            <w:r>
              <w:rPr>
                <w:rFonts w:ascii="Calibri" w:hAnsi="Calibri"/>
                <w:color w:val="565656"/>
                <w:sz w:val="18"/>
              </w:rPr>
              <w:t>IR (Central) Rules, 2026, rule 11</w:t>
            </w:r>
          </w:p>
        </w:tc>
      </w:tr>
      <w:tr>
        <w:tc>
          <w:tcPr>
            <w:tcW w:type="dxa" w:w="6192"/>
          </w:tcPr>
          <w:p>
            <w:pPr>
              <w:spacing w:after="40"/>
            </w:pPr>
            <w:r/>
            <w:r>
              <w:rPr>
                <w:rFonts w:ascii="Calibri" w:hAnsi="Calibri"/>
                <w:color w:val="565656"/>
                <w:sz w:val="18"/>
              </w:rPr>
              <w:t>No authentication is required where the orders were deemed certified or the model was adopted</w:t>
            </w:r>
          </w:p>
        </w:tc>
        <w:tc>
          <w:tcPr>
            <w:tcW w:type="dxa" w:w="3168"/>
          </w:tcPr>
          <w:p>
            <w:pPr>
              <w:spacing w:after="40"/>
            </w:pPr>
            <w:r/>
            <w:r>
              <w:rPr>
                <w:rFonts w:ascii="Calibri" w:hAnsi="Calibri"/>
                <w:color w:val="565656"/>
                <w:sz w:val="18"/>
              </w:rPr>
              <w:t>IR (Central) Rules, 2026, rule 12 proviso</w:t>
            </w:r>
          </w:p>
        </w:tc>
      </w:tr>
      <w:tr>
        <w:tc>
          <w:tcPr>
            <w:tcW w:type="dxa" w:w="6192"/>
          </w:tcPr>
          <w:p>
            <w:pPr>
              <w:spacing w:after="40"/>
            </w:pPr>
            <w:r/>
            <w:r>
              <w:rPr>
                <w:rFonts w:ascii="Calibri" w:hAnsi="Calibri"/>
                <w:color w:val="565656"/>
                <w:sz w:val="18"/>
              </w:rPr>
              <w:t>The statement carries the e-mail address and contact number</w:t>
            </w:r>
          </w:p>
        </w:tc>
        <w:tc>
          <w:tcPr>
            <w:tcW w:type="dxa" w:w="3168"/>
          </w:tcPr>
          <w:p>
            <w:pPr>
              <w:spacing w:after="40"/>
            </w:pPr>
            <w:r/>
            <w:r>
              <w:rPr>
                <w:rFonts w:ascii="Calibri" w:hAnsi="Calibri"/>
                <w:color w:val="565656"/>
                <w:sz w:val="18"/>
              </w:rPr>
              <w:t>IR (Central) Rules, 2026, rule 13(1)</w:t>
            </w:r>
          </w:p>
        </w:tc>
      </w:tr>
      <w:tr>
        <w:tc>
          <w:tcPr>
            <w:tcW w:type="dxa" w:w="6192"/>
          </w:tcPr>
          <w:p>
            <w:pPr>
              <w:spacing w:after="40"/>
            </w:pPr>
            <w:r/>
            <w:r>
              <w:rPr>
                <w:rFonts w:ascii="Calibri" w:hAnsi="Calibri"/>
                <w:color w:val="565656"/>
                <w:sz w:val="18"/>
              </w:rPr>
              <w:t>And is signed by a person authorised by the establishment</w:t>
            </w:r>
          </w:p>
        </w:tc>
        <w:tc>
          <w:tcPr>
            <w:tcW w:type="dxa" w:w="3168"/>
          </w:tcPr>
          <w:p>
            <w:pPr>
              <w:spacing w:after="40"/>
            </w:pPr>
            <w:r/>
            <w:r>
              <w:rPr>
                <w:rFonts w:ascii="Calibri" w:hAnsi="Calibri"/>
                <w:color w:val="565656"/>
                <w:sz w:val="18"/>
              </w:rPr>
              <w:t>IR (Central) Rules, 2026, rule 13(3)</w:t>
            </w:r>
          </w:p>
        </w:tc>
      </w:tr>
      <w:tr>
        <w:tc>
          <w:tcPr>
            <w:tcW w:type="dxa" w:w="6192"/>
          </w:tcPr>
          <w:p>
            <w:pPr>
              <w:spacing w:after="40"/>
            </w:pPr>
            <w:r/>
            <w:r>
              <w:rPr>
                <w:rFonts w:ascii="Calibri" w:hAnsi="Calibri"/>
                <w:color w:val="565656"/>
                <w:sz w:val="18"/>
              </w:rPr>
              <w:t>A joint draft goes to the Additional Chief Labour Commissioner (Central)</w:t>
            </w:r>
          </w:p>
        </w:tc>
        <w:tc>
          <w:tcPr>
            <w:tcW w:type="dxa" w:w="3168"/>
          </w:tcPr>
          <w:p>
            <w:pPr>
              <w:spacing w:after="40"/>
            </w:pPr>
            <w:r/>
            <w:r>
              <w:rPr>
                <w:rFonts w:ascii="Calibri" w:hAnsi="Calibri"/>
                <w:color w:val="565656"/>
                <w:sz w:val="18"/>
              </w:rPr>
              <w:t>IR (Central) Rules, 2026, rule 14</w:t>
            </w:r>
          </w:p>
        </w:tc>
      </w:tr>
      <w:tr>
        <w:tc>
          <w:tcPr>
            <w:tcW w:type="dxa" w:w="6192"/>
          </w:tcPr>
          <w:p>
            <w:pPr>
              <w:spacing w:after="40"/>
            </w:pPr>
            <w:r/>
            <w:r>
              <w:rPr>
                <w:rFonts w:ascii="Calibri" w:hAnsi="Calibri"/>
                <w:color w:val="565656"/>
                <w:sz w:val="18"/>
              </w:rPr>
              <w:t>The memorandum of appeal is in TABULAR form</w:t>
            </w:r>
          </w:p>
        </w:tc>
        <w:tc>
          <w:tcPr>
            <w:tcW w:type="dxa" w:w="3168"/>
          </w:tcPr>
          <w:p>
            <w:pPr>
              <w:spacing w:after="40"/>
            </w:pPr>
            <w:r/>
            <w:r>
              <w:rPr>
                <w:rFonts w:ascii="Calibri" w:hAnsi="Calibri"/>
                <w:color w:val="565656"/>
                <w:sz w:val="18"/>
              </w:rPr>
              <w:t>IR (Central) Rules, 2026, rule 15(1)</w:t>
            </w:r>
          </w:p>
        </w:tc>
      </w:tr>
      <w:tr>
        <w:tc>
          <w:tcPr>
            <w:tcW w:type="dxa" w:w="6192"/>
          </w:tcPr>
          <w:p>
            <w:pPr>
              <w:spacing w:after="40"/>
            </w:pPr>
            <w:r/>
            <w:r>
              <w:rPr>
                <w:rFonts w:ascii="Calibri" w:hAnsi="Calibri"/>
                <w:color w:val="565656"/>
                <w:sz w:val="18"/>
              </w:rPr>
              <w:t>An appellate order is served within three days of disposal</w:t>
            </w:r>
          </w:p>
        </w:tc>
        <w:tc>
          <w:tcPr>
            <w:tcW w:type="dxa" w:w="3168"/>
          </w:tcPr>
          <w:p>
            <w:pPr>
              <w:spacing w:after="40"/>
            </w:pPr>
            <w:r/>
            <w:r>
              <w:rPr>
                <w:rFonts w:ascii="Calibri" w:hAnsi="Calibri"/>
                <w:color w:val="565656"/>
                <w:sz w:val="18"/>
              </w:rPr>
              <w:t>IR (Central) Rules, 2026, rule 16(1)</w:t>
            </w:r>
          </w:p>
        </w:tc>
      </w:tr>
      <w:tr>
        <w:tc>
          <w:tcPr>
            <w:tcW w:type="dxa" w:w="6192"/>
          </w:tcPr>
          <w:p>
            <w:pPr>
              <w:spacing w:after="40"/>
            </w:pPr>
            <w:r/>
            <w:r>
              <w:rPr>
                <w:rFonts w:ascii="Calibri" w:hAnsi="Calibri"/>
                <w:color w:val="565656"/>
                <w:sz w:val="18"/>
              </w:rPr>
              <w:t>The text is maintained in HINDI, ENGLISH AND THE LOCAL LANGUAGE</w:t>
            </w:r>
          </w:p>
        </w:tc>
        <w:tc>
          <w:tcPr>
            <w:tcW w:type="dxa" w:w="3168"/>
          </w:tcPr>
          <w:p>
            <w:pPr>
              <w:spacing w:after="40"/>
            </w:pPr>
            <w:r/>
            <w:r>
              <w:rPr>
                <w:rFonts w:ascii="Calibri" w:hAnsi="Calibri"/>
                <w:color w:val="565656"/>
                <w:sz w:val="18"/>
              </w:rPr>
              <w:t>IR (Central) Rules, 2026, rule 16(2)</w:t>
            </w:r>
          </w:p>
        </w:tc>
      </w:tr>
      <w:tr>
        <w:tc>
          <w:tcPr>
            <w:tcW w:type="dxa" w:w="6192"/>
          </w:tcPr>
          <w:p>
            <w:pPr>
              <w:spacing w:after="40"/>
            </w:pPr>
            <w:r/>
            <w:r>
              <w:rPr>
                <w:rFonts w:ascii="Calibri" w:hAnsi="Calibri"/>
                <w:color w:val="565656"/>
                <w:sz w:val="18"/>
              </w:rPr>
              <w:t>And displayed on a special board at or near the entrance the majority of workers use</w:t>
            </w:r>
          </w:p>
        </w:tc>
        <w:tc>
          <w:tcPr>
            <w:tcW w:type="dxa" w:w="3168"/>
          </w:tcPr>
          <w:p>
            <w:pPr>
              <w:spacing w:after="40"/>
            </w:pPr>
            <w:r/>
            <w:r>
              <w:rPr>
                <w:rFonts w:ascii="Calibri" w:hAnsi="Calibri"/>
                <w:color w:val="565656"/>
                <w:sz w:val="18"/>
              </w:rPr>
              <w:t>IR (Central) Rules, 2026, rule 16(3)</w:t>
            </w:r>
          </w:p>
        </w:tc>
      </w:tr>
      <w:tr>
        <w:tc>
          <w:tcPr>
            <w:tcW w:type="dxa" w:w="6192"/>
          </w:tcPr>
          <w:p>
            <w:pPr>
              <w:spacing w:after="40"/>
            </w:pPr>
            <w:r/>
            <w:r>
              <w:rPr>
                <w:rFonts w:ascii="Calibri" w:hAnsi="Calibri"/>
                <w:color w:val="565656"/>
                <w:sz w:val="18"/>
              </w:rPr>
              <w:t>The register is Form-III, kept electronically, copies at two rupees a page</w:t>
            </w:r>
          </w:p>
        </w:tc>
        <w:tc>
          <w:tcPr>
            <w:tcW w:type="dxa" w:w="3168"/>
          </w:tcPr>
          <w:p>
            <w:pPr>
              <w:spacing w:after="40"/>
            </w:pPr>
            <w:r/>
            <w:r>
              <w:rPr>
                <w:rFonts w:ascii="Calibri" w:hAnsi="Calibri"/>
                <w:color w:val="565656"/>
                <w:sz w:val="18"/>
              </w:rPr>
              <w:t>IR (Central) Rules, 2026, rule 17</w:t>
            </w:r>
          </w:p>
        </w:tc>
      </w:tr>
      <w:tr>
        <w:tc>
          <w:tcPr>
            <w:tcW w:type="dxa" w:w="6192"/>
          </w:tcPr>
          <w:p>
            <w:pPr>
              <w:spacing w:after="40"/>
            </w:pPr>
            <w:r/>
            <w:r>
              <w:rPr>
                <w:rFonts w:ascii="Calibri" w:hAnsi="Calibri"/>
                <w:color w:val="565656"/>
                <w:sz w:val="18"/>
              </w:rPr>
              <w:t>A modification application carries a tabular statement and is signed</w:t>
            </w:r>
          </w:p>
        </w:tc>
        <w:tc>
          <w:tcPr>
            <w:tcW w:type="dxa" w:w="3168"/>
          </w:tcPr>
          <w:p>
            <w:pPr>
              <w:spacing w:after="40"/>
            </w:pPr>
            <w:r/>
            <w:r>
              <w:rPr>
                <w:rFonts w:ascii="Calibri" w:hAnsi="Calibri"/>
                <w:color w:val="565656"/>
                <w:sz w:val="18"/>
              </w:rPr>
              <w:t>IR (Central) Rules, 2026, rule 18(2) and (3)</w:t>
            </w:r>
          </w:p>
        </w:tc>
      </w:tr>
    </w:tbl>
    <w:p>
      <w:pPr>
        <w:keepNext w:val="0"/>
        <w:spacing w:after="200" w:before="0"/>
      </w:pPr>
      <w:r>
        <w:rPr>
          <w:rFonts w:ascii="Calibri" w:hAnsi="Calibri"/>
          <w:b w:val="0"/>
          <w:i w:val="0"/>
          <w:color w:val="1D1D1D"/>
          <w:sz w:val="21"/>
        </w:rPr>
      </w:r>
    </w:p>
    <w:p>
      <w:pPr>
        <w:keepNext w:val="0"/>
        <w:spacing w:after="160" w:before="0"/>
      </w:pPr>
      <w:r>
        <w:rPr>
          <w:rFonts w:ascii="Calibri" w:hAnsi="Calibri"/>
          <w:b w:val="0"/>
          <w:i/>
          <w:color w:val="565656"/>
          <w:sz w:val="18"/>
        </w:rPr>
        <w:t>All sixty citations above were read at their own provision in the gazette on 28-Sep-2026, not quoted from commentary.</w:t>
      </w:r>
    </w:p>
    <w:p>
      <w:pPr>
        <w:keepNext w:val="0"/>
        <w:spacing w:after="120" w:before="0"/>
      </w:pPr>
      <w:r>
        <w:rPr>
          <w:rFonts w:ascii="Calibri" w:hAnsi="Calibri"/>
          <w:b w:val="0"/>
          <w:i w:val="0"/>
          <w:color w:val="565656"/>
          <w:sz w:val="18"/>
        </w:rPr>
        <w:t>This pack is general information about a central Code, not legal advice on your establishment. The certifying officer, the appellate authority, the prescribed manner and any exemption under section 39 are the appropriate Government's, and no State rules were read for this pack.</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8A8A8A"/>
        <w:sz w:val="15"/>
      </w:rPr>
      <w:t xml:space="preserve">Attendo (formerly Petpooja Payroll)  ·  attendohr.com  ·  Standing Orders Pack  ·  reviewed 28-Sep-2026  ·  page </w:t>
    </w:r>
    <w:r>
      <w:rPr>
        <w:rFonts w:ascii="Calibri" w:hAnsi="Calibri"/>
        <w:color w:val="8A8A8A"/>
        <w:sz w:val="15"/>
      </w:rPr>
      <w:fldChar w:fldCharType="begin"/>
    </w:r>
    <w:r>
      <w:rPr>
        <w:rFonts w:ascii="Calibri" w:hAnsi="Calibri"/>
        <w:color w:val="8A8A8A"/>
        <w:sz w:val="15"/>
      </w:rPr>
      <w:instrText xml:space="preserve"> PAGE </w:instrText>
    </w:r>
    <w:r>
      <w:rPr>
        <w:rFonts w:ascii="Calibri" w:hAnsi="Calibri"/>
        <w:color w:val="8A8A8A"/>
        <w:sz w:val="1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D1D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Standing Orders: model, certified and ten formats</dc:title>
  <dc:subject/>
  <dc:creator>Attendo</dc:creator>
  <cp:keywords/>
  <dc:description>Built on Chapter IV of the Industrial Relations Code, 2020, ss.28 to 39 and the First Schedule. Reviewed 28-Sep-2026.</dc:description>
  <cp:lastModifiedBy/>
  <cp:revision>1</cp:revision>
  <dcterms:created xsi:type="dcterms:W3CDTF">2013-12-23T23:15:00Z</dcterms:created>
  <dcterms:modified xsi:type="dcterms:W3CDTF">2013-12-23T23:15:00Z</dcterms:modified>
  <cp:category/>
</cp:coreProperties>
</file>