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after="80" w:before="800"/>
      </w:pPr>
      <w:r>
        <w:rPr>
          <w:rFonts w:ascii="Calibri" w:hAnsi="Calibri"/>
          <w:b/>
          <w:i w:val="0"/>
          <w:color w:val="0069A4"/>
          <w:sz w:val="18"/>
        </w:rPr>
        <w:t>ATTENDO PRESENTS</w:t>
      </w:r>
    </w:p>
    <w:p>
      <w:pPr>
        <w:keepNext w:val="0"/>
        <w:spacing w:after="40" w:before="0"/>
      </w:pPr>
      <w:r>
        <w:rPr>
          <w:rFonts w:ascii="Calibri" w:hAnsi="Calibri"/>
          <w:b/>
          <w:i w:val="0"/>
          <w:color w:val="1D1D1D"/>
          <w:sz w:val="48"/>
        </w:rPr>
        <w:t>Safety Officer and Safety Committee</w:t>
      </w:r>
    </w:p>
    <w:p>
      <w:pPr>
        <w:keepNext w:val="0"/>
        <w:spacing w:after="200" w:before="0"/>
      </w:pPr>
      <w:r>
        <w:rPr>
          <w:rFonts w:ascii="Calibri" w:hAnsi="Calibri"/>
          <w:b w:val="0"/>
          <w:i w:val="0"/>
          <w:color w:val="565656"/>
          <w:sz w:val="30"/>
        </w:rPr>
        <w:t>Appointment, constitution and ten formats</w:t>
      </w:r>
    </w:p>
    <w:p>
      <w:pPr>
        <w:keepNext w:val="0"/>
        <w:spacing w:after="320" w:before="0"/>
      </w:pPr>
      <w:r>
        <w:rPr>
          <w:rFonts w:ascii="Calibri" w:hAnsi="Calibri"/>
          <w:b w:val="0"/>
          <w:i w:val="0"/>
          <w:color w:val="565656"/>
          <w:sz w:val="23"/>
        </w:rPr>
        <w:t>Built on section 22 of the Occupational Safety, Health and Working Conditions Code, 2020 and rules 14 to 21 and 108 of the OSH (Central) Rules, 2026</w:t>
      </w:r>
    </w:p>
    <w:p>
      <w:pPr>
        <w:spacing w:after="160" w:before="160"/>
        <w:pBdr>
          <w:bottom w:val="single" w:sz="6" w:space="1" w:color="D1EAF9"/>
        </w:pBdr>
      </w:pPr>
    </w:p>
    <w:p>
      <w:pPr>
        <w:keepNext w:val="0"/>
        <w:spacing w:after="360" w:before="0"/>
      </w:pPr>
      <w:r>
        <w:rPr>
          <w:rFonts w:ascii="Calibri" w:hAnsi="Calibri"/>
          <w:b w:val="0"/>
          <w:i w:val="0"/>
          <w:color w:val="565656"/>
          <w:sz w:val="20"/>
        </w:rPr>
        <w:t>For Indian employers</w:t>
      </w:r>
    </w:p>
    <w:p>
      <w:pPr>
        <w:keepNext w:val="0"/>
        <w:spacing w:after="280" w:before="0"/>
        <w:ind w:left="173"/>
        <w:shd w:val="clear" w:fill="F4FAFE"/>
      </w:pPr>
      <w:r>
        <w:rPr>
          <w:rFonts w:ascii="Calibri" w:hAnsi="Calibri"/>
          <w:b w:val="0"/>
          <w:i w:val="0"/>
          <w:color w:val="1D1D1D"/>
          <w:sz w:val="22"/>
        </w:rPr>
        <w:t>Two duties, and only one of them waits for anybody. The safety officer is owed the moment you cross the line for your kind of establishment. The Safety Committee arrives only when your government asks for it, and for the central sphere it already has.</w:t>
      </w:r>
    </w:p>
    <w:p>
      <w:pPr>
        <w:keepNext w:val="0"/>
        <w:spacing w:after="160" w:before="160"/>
      </w:pPr>
      <w:r>
        <w:rPr>
          <w:rFonts w:ascii="Calibri" w:hAnsi="Calibri"/>
          <w:b/>
          <w:i w:val="0"/>
          <w:color w:val="1D1D1D"/>
          <w:sz w:val="24"/>
        </w:rPr>
        <w:t>Contents</w:t>
      </w:r>
    </w:p>
    <w:p>
      <w:pPr>
        <w:keepNext w:val="0"/>
        <w:spacing w:after="60" w:before="0"/>
        <w:ind w:left="216"/>
      </w:pPr>
      <w:r>
        <w:rPr>
          <w:rFonts w:ascii="Calibri" w:hAnsi="Calibri"/>
          <w:b w:val="0"/>
          <w:i w:val="0"/>
          <w:color w:val="565656"/>
          <w:sz w:val="20"/>
        </w:rPr>
        <w:t>1.   Whether section 22 reaches you, and on which limb</w:t>
      </w:r>
    </w:p>
    <w:p>
      <w:pPr>
        <w:keepNext w:val="0"/>
        <w:spacing w:after="60" w:before="0"/>
        <w:ind w:left="216"/>
      </w:pPr>
      <w:r>
        <w:rPr>
          <w:rFonts w:ascii="Calibri" w:hAnsi="Calibri"/>
          <w:b w:val="0"/>
          <w:i w:val="0"/>
          <w:color w:val="565656"/>
          <w:sz w:val="20"/>
        </w:rPr>
        <w:t>2.   The two duties, and why only one needs an order</w:t>
      </w:r>
    </w:p>
    <w:p>
      <w:pPr>
        <w:keepNext w:val="0"/>
        <w:spacing w:after="60" w:before="0"/>
        <w:ind w:left="216"/>
      </w:pPr>
      <w:r>
        <w:rPr>
          <w:rFonts w:ascii="Calibri" w:hAnsi="Calibri"/>
          <w:b w:val="0"/>
          <w:i w:val="0"/>
          <w:color w:val="565656"/>
          <w:sz w:val="20"/>
        </w:rPr>
        <w:t>3.   How many officers, and who is eligible</w:t>
      </w:r>
    </w:p>
    <w:p>
      <w:pPr>
        <w:keepNext w:val="0"/>
        <w:spacing w:after="60" w:before="0"/>
        <w:ind w:left="216"/>
      </w:pPr>
      <w:r>
        <w:rPr>
          <w:rFonts w:ascii="Calibri" w:hAnsi="Calibri"/>
          <w:b w:val="0"/>
          <w:i w:val="0"/>
          <w:color w:val="565656"/>
          <w:sz w:val="20"/>
        </w:rPr>
        <w:t>4.   The Safety Committee, and its two clocks</w:t>
      </w:r>
    </w:p>
    <w:p>
      <w:pPr>
        <w:keepNext w:val="0"/>
        <w:spacing w:after="60" w:before="0"/>
        <w:ind w:left="216"/>
      </w:pPr>
      <w:r>
        <w:rPr>
          <w:rFonts w:ascii="Calibri" w:hAnsi="Calibri"/>
          <w:b w:val="0"/>
          <w:i w:val="0"/>
          <w:color w:val="565656"/>
          <w:sz w:val="20"/>
        </w:rPr>
        <w:t>5.   What this pack does not claim</w:t>
      </w:r>
    </w:p>
    <w:p>
      <w:pPr>
        <w:keepNext w:val="0"/>
        <w:spacing w:after="60" w:before="0"/>
        <w:ind w:left="216"/>
      </w:pPr>
      <w:r>
        <w:rPr>
          <w:rFonts w:ascii="Calibri" w:hAnsi="Calibri"/>
          <w:b w:val="0"/>
          <w:i w:val="0"/>
          <w:color w:val="565656"/>
          <w:sz w:val="20"/>
        </w:rPr>
        <w:t>6.   Ten formats, and when to use each</w:t>
      </w:r>
    </w:p>
    <w:p>
      <w:pPr>
        <w:keepNext w:val="0"/>
        <w:spacing w:after="60" w:before="0"/>
        <w:ind w:left="216"/>
      </w:pPr>
      <w:r>
        <w:rPr>
          <w:rFonts w:ascii="Calibri" w:hAnsi="Calibri"/>
          <w:b w:val="0"/>
          <w:i w:val="0"/>
          <w:color w:val="565656"/>
          <w:sz w:val="20"/>
        </w:rPr>
        <w:t>7.   The formats</w:t>
      </w:r>
    </w:p>
    <w:p>
      <w:pPr>
        <w:keepNext w:val="0"/>
        <w:spacing w:after="60" w:before="0"/>
        <w:ind w:left="216"/>
      </w:pPr>
      <w:r>
        <w:rPr>
          <w:rFonts w:ascii="Calibri" w:hAnsi="Calibri"/>
          <w:b w:val="0"/>
          <w:i w:val="0"/>
          <w:color w:val="565656"/>
          <w:sz w:val="20"/>
        </w:rPr>
        <w:t>8.   Eight mistakes employers make</w:t>
      </w:r>
    </w:p>
    <w:p>
      <w:pPr>
        <w:keepNext w:val="0"/>
        <w:spacing w:after="60" w:before="0"/>
        <w:ind w:left="216"/>
      </w:pPr>
      <w:r>
        <w:rPr>
          <w:rFonts w:ascii="Calibri" w:hAnsi="Calibri"/>
          <w:b w:val="0"/>
          <w:i w:val="0"/>
          <w:color w:val="565656"/>
          <w:sz w:val="20"/>
        </w:rPr>
        <w:t>9.   Fourteen checks, and where every line comes from</w:t>
      </w:r>
    </w:p>
    <w:p>
      <w:pPr>
        <w:keepNext w:val="0"/>
        <w:spacing w:after="120" w:before="280"/>
      </w:pPr>
      <w:r>
        <w:rPr>
          <w:rFonts w:ascii="Calibri" w:hAnsi="Calibri"/>
          <w:b/>
          <w:i w:val="0"/>
          <w:color w:val="1D1D1D"/>
          <w:sz w:val="22"/>
        </w:rPr>
        <w:t>Three questions, and you know where you stand</w:t>
      </w:r>
    </w:p>
    <w:p>
      <w:pPr>
        <w:keepNext w:val="0"/>
        <w:spacing w:after="80" w:before="0"/>
        <w:ind w:left="173"/>
        <w:shd w:val="clear" w:fill="F4FAFE"/>
      </w:pPr>
      <w:r>
        <w:rPr>
          <w:rFonts w:ascii="Calibri" w:hAnsi="Calibri"/>
          <w:b w:val="0"/>
          <w:i w:val="0"/>
          <w:color w:val="1D1D1D"/>
          <w:sz w:val="20"/>
        </w:rPr>
        <w:t>1.  Which are you: a factory, a factory carrying on a hazardous process, building or other construction work, a mine, or dock work? The threshold is different for each.</w:t>
      </w:r>
    </w:p>
    <w:p>
      <w:pPr>
        <w:keepNext w:val="0"/>
        <w:spacing w:after="80" w:before="0"/>
        <w:ind w:left="173"/>
        <w:shd w:val="clear" w:fill="F4FAFE"/>
      </w:pPr>
      <w:r>
        <w:rPr>
          <w:rFonts w:ascii="Calibri" w:hAnsi="Calibri"/>
          <w:b w:val="0"/>
          <w:i w:val="0"/>
          <w:color w:val="1D1D1D"/>
          <w:sz w:val="20"/>
        </w:rPr>
        <w:t>2.  How many workers are ORDINARILY employed? Not the headcount on a busy day, and not an average.</w:t>
      </w:r>
    </w:p>
    <w:p>
      <w:pPr>
        <w:keepNext w:val="0"/>
        <w:spacing w:after="80" w:before="0"/>
        <w:ind w:left="173"/>
        <w:shd w:val="clear" w:fill="F4FAFE"/>
      </w:pPr>
      <w:r>
        <w:rPr>
          <w:rFonts w:ascii="Calibri" w:hAnsi="Calibri"/>
          <w:b w:val="0"/>
          <w:i w:val="0"/>
          <w:color w:val="1D1D1D"/>
          <w:sz w:val="20"/>
        </w:rPr>
        <w:t>3.  Is your appropriate Government the Centre or your State? The Centre for railways, mines, oil fields, major ports, air transport, telecommunication, banking and insurance under a Central Act and central public sector undertakings. A factory is the State.</w:t>
      </w:r>
    </w:p>
    <w:p>
      <w:pPr>
        <w:keepNext w:val="0"/>
        <w:spacing w:after="120" w:before="200"/>
      </w:pPr>
      <w:r>
        <w:rPr>
          <w:rFonts w:ascii="Calibri" w:hAnsi="Calibri"/>
          <w:b w:val="0"/>
          <w:i/>
          <w:color w:val="565656"/>
          <w:sz w:val="18"/>
        </w:rPr>
        <w:t>Every line in this pack was read at the cited provision in the gazette, on 25-Sep-2026. Nothing here is quoted from commentary.</w:t>
      </w:r>
    </w:p>
    <w:p>
      <w:pPr>
        <w:keepNext w:val="0"/>
        <w:spacing w:after="80" w:before="0"/>
      </w:pPr>
      <w:r>
        <w:rPr>
          <w:rFonts w:ascii="Calibri" w:hAnsi="Calibri"/>
          <w:b w:val="0"/>
          <w:i w:val="0"/>
          <w:color w:val="565656"/>
          <w:sz w:val="18"/>
        </w:rPr>
        <w:t>Attendo (formerly Petpooja Payroll) is payroll and attendance software used by more than 40,000 businesses across manufacturing, corporate offices, healthcare, retail and hospitality.</w:t>
      </w:r>
    </w:p>
    <w:p>
      <w:r>
        <w:br w:type="page"/>
      </w:r>
    </w:p>
    <w:p>
      <w:pPr>
        <w:pStyle w:val="Heading1"/>
        <w:keepNext/>
        <w:spacing w:after="200" w:before="80"/>
        <w:ind w:left="115"/>
        <w:shd w:val="clear" w:fill="008CDB"/>
      </w:pPr>
      <w:r>
        <w:rPr>
          <w:rFonts w:ascii="Calibri" w:hAnsi="Calibri"/>
          <w:b/>
          <w:color w:val="FFFFFF"/>
          <w:sz w:val="22"/>
        </w:rPr>
        <w:t>1  ·  WHETHER SECTION 22 REACHES YOU, AND ON WHICH LIMB</w:t>
      </w:r>
    </w:p>
    <w:p>
      <w:pPr>
        <w:keepNext w:val="0"/>
        <w:spacing w:after="200" w:before="0"/>
      </w:pPr>
      <w:r>
        <w:rPr>
          <w:rFonts w:ascii="Calibri" w:hAnsi="Calibri"/>
          <w:b w:val="0"/>
          <w:i w:val="0"/>
          <w:color w:val="1D1D1D"/>
          <w:sz w:val="21"/>
        </w:rPr>
        <w:t>Six layers. The first decides which number applies to you, and the last decides whose rules fill in the detail.</w:t>
      </w:r>
    </w:p>
    <w:tbl>
      <w:tblPr>
        <w:tblStyle w:val="TableGrid"/>
        <w:tblW w:type="auto" w:w="0"/>
        <w:tblLook w:firstColumn="1" w:firstRow="1" w:lastColumn="0" w:lastRow="0" w:noHBand="0" w:noVBand="1" w:val="04A0"/>
      </w:tblPr>
      <w:tblGrid>
        <w:gridCol w:w="3216"/>
        <w:gridCol w:w="3216"/>
        <w:gridCol w:w="3216"/>
      </w:tblGrid>
      <w:tr>
        <w:tc>
          <w:tcPr>
            <w:tcW w:type="dxa" w:w="2304"/>
          </w:tcPr>
          <w:p>
            <w:pPr>
              <w:spacing w:after="40"/>
              <w:shd w:val="clear" w:fill="E8F4FC"/>
            </w:pPr>
            <w:r/>
            <w:r>
              <w:rPr>
                <w:rFonts w:ascii="Calibri" w:hAnsi="Calibri"/>
                <w:b/>
                <w:color w:val="0069A4"/>
                <w:sz w:val="18"/>
              </w:rPr>
              <w:t>Layer</w:t>
            </w:r>
          </w:p>
        </w:tc>
        <w:tc>
          <w:tcPr>
            <w:tcW w:type="dxa" w:w="5184"/>
          </w:tcPr>
          <w:p>
            <w:pPr>
              <w:spacing w:after="40"/>
              <w:shd w:val="clear" w:fill="E8F4FC"/>
            </w:pPr>
            <w:r/>
            <w:r>
              <w:rPr>
                <w:rFonts w:ascii="Calibri" w:hAnsi="Calibri"/>
                <w:b/>
                <w:color w:val="0069A4"/>
                <w:sz w:val="18"/>
              </w:rPr>
              <w:t>What it means</w:t>
            </w:r>
          </w:p>
        </w:tc>
        <w:tc>
          <w:tcPr>
            <w:tcW w:type="dxa" w:w="2448"/>
          </w:tcPr>
          <w:p>
            <w:pPr>
              <w:spacing w:after="40"/>
              <w:shd w:val="clear" w:fill="E8F4FC"/>
            </w:pPr>
            <w:r/>
            <w:r>
              <w:rPr>
                <w:rFonts w:ascii="Calibri" w:hAnsi="Calibri"/>
                <w:b/>
                <w:color w:val="0069A4"/>
                <w:sz w:val="18"/>
              </w:rPr>
              <w:t>Where it comes from</w:t>
            </w:r>
          </w:p>
        </w:tc>
      </w:tr>
      <w:tr>
        <w:tc>
          <w:tcPr>
            <w:tcW w:type="dxa" w:w="2304"/>
          </w:tcPr>
          <w:p>
            <w:pPr>
              <w:spacing w:after="40"/>
            </w:pPr>
            <w:r/>
            <w:r>
              <w:rPr>
                <w:rFonts w:ascii="Calibri" w:hAnsi="Calibri"/>
                <w:color w:val="565656"/>
                <w:sz w:val="18"/>
              </w:rPr>
              <w:t>Which limb you are on</w:t>
            </w:r>
          </w:p>
        </w:tc>
        <w:tc>
          <w:tcPr>
            <w:tcW w:type="dxa" w:w="5184"/>
          </w:tcPr>
          <w:p>
            <w:pPr>
              <w:spacing w:after="40"/>
            </w:pPr>
            <w:r/>
            <w:r>
              <w:rPr>
                <w:rFonts w:ascii="Calibri" w:hAnsi="Calibri"/>
                <w:color w:val="565656"/>
                <w:sz w:val="18"/>
              </w:rPr>
              <w:t>Four thresholds, not one. A factory at 500 workers, a factory carrying on a hazardous process at 250, building or other construction work at 250, a mine at 100. Rule 18 adds dock work at 500.</w:t>
            </w:r>
          </w:p>
        </w:tc>
        <w:tc>
          <w:tcPr>
            <w:tcW w:type="dxa" w:w="2448"/>
          </w:tcPr>
          <w:p>
            <w:pPr>
              <w:spacing w:after="40"/>
            </w:pPr>
            <w:r/>
            <w:r>
              <w:rPr>
                <w:rFonts w:ascii="Calibri" w:hAnsi="Calibri"/>
                <w:color w:val="565656"/>
                <w:sz w:val="18"/>
              </w:rPr>
              <w:t>OSH Code, s.22(2)</w:t>
            </w:r>
          </w:p>
        </w:tc>
      </w:tr>
      <w:tr>
        <w:tc>
          <w:tcPr>
            <w:tcW w:type="dxa" w:w="2304"/>
          </w:tcPr>
          <w:p>
            <w:pPr>
              <w:spacing w:after="40"/>
            </w:pPr>
            <w:r/>
            <w:r>
              <w:rPr>
                <w:rFonts w:ascii="Calibri" w:hAnsi="Calibri"/>
                <w:color w:val="565656"/>
                <w:sz w:val="18"/>
              </w:rPr>
              <w:t>Ordinarily employed</w:t>
            </w:r>
          </w:p>
        </w:tc>
        <w:tc>
          <w:tcPr>
            <w:tcW w:type="dxa" w:w="5184"/>
          </w:tcPr>
          <w:p>
            <w:pPr>
              <w:spacing w:after="40"/>
            </w:pPr>
            <w:r/>
            <w:r>
              <w:rPr>
                <w:rFonts w:ascii="Calibri" w:hAnsi="Calibri"/>
                <w:color w:val="565656"/>
                <w:sz w:val="18"/>
              </w:rPr>
              <w:t>Section 22(2) says the workers must be ORDINARILY employed. That is not the same as employed on any day of the year, and it is not an average per working day either. A seasonal peak is not the test.</w:t>
            </w:r>
          </w:p>
        </w:tc>
        <w:tc>
          <w:tcPr>
            <w:tcW w:type="dxa" w:w="2448"/>
          </w:tcPr>
          <w:p>
            <w:pPr>
              <w:spacing w:after="40"/>
            </w:pPr>
            <w:r/>
            <w:r>
              <w:rPr>
                <w:rFonts w:ascii="Calibri" w:hAnsi="Calibri"/>
                <w:color w:val="565656"/>
                <w:sz w:val="18"/>
              </w:rPr>
              <w:t>OSH Code, s.22(2)</w:t>
            </w:r>
          </w:p>
        </w:tc>
      </w:tr>
      <w:tr>
        <w:tc>
          <w:tcPr>
            <w:tcW w:type="dxa" w:w="2304"/>
          </w:tcPr>
          <w:p>
            <w:pPr>
              <w:spacing w:after="40"/>
            </w:pPr>
            <w:r/>
            <w:r>
              <w:rPr>
                <w:rFonts w:ascii="Calibri" w:hAnsi="Calibri"/>
                <w:color w:val="565656"/>
                <w:sz w:val="18"/>
              </w:rPr>
              <w:t>The officer duty needs no order</w:t>
            </w:r>
          </w:p>
        </w:tc>
        <w:tc>
          <w:tcPr>
            <w:tcW w:type="dxa" w:w="5184"/>
          </w:tcPr>
          <w:p>
            <w:pPr>
              <w:spacing w:after="40"/>
            </w:pPr>
            <w:r/>
            <w:r>
              <w:rPr>
                <w:rFonts w:ascii="Calibri" w:hAnsi="Calibri"/>
                <w:color w:val="565656"/>
                <w:sz w:val="18"/>
              </w:rPr>
              <w:t>The Code says the employer SHALL ALSO APPOINT. Nothing has to be notified or ordered first. Only the number, the qualifications and the duties are left to be prescribed.</w:t>
            </w:r>
          </w:p>
        </w:tc>
        <w:tc>
          <w:tcPr>
            <w:tcW w:type="dxa" w:w="2448"/>
          </w:tcPr>
          <w:p>
            <w:pPr>
              <w:spacing w:after="40"/>
            </w:pPr>
            <w:r/>
            <w:r>
              <w:rPr>
                <w:rFonts w:ascii="Calibri" w:hAnsi="Calibri"/>
                <w:color w:val="565656"/>
                <w:sz w:val="18"/>
              </w:rPr>
              <w:t>OSH Code, s.22(2)</w:t>
            </w:r>
          </w:p>
        </w:tc>
      </w:tr>
      <w:tr>
        <w:tc>
          <w:tcPr>
            <w:tcW w:type="dxa" w:w="2304"/>
          </w:tcPr>
          <w:p>
            <w:pPr>
              <w:spacing w:after="40"/>
            </w:pPr>
            <w:r/>
            <w:r>
              <w:rPr>
                <w:rFonts w:ascii="Calibri" w:hAnsi="Calibri"/>
                <w:color w:val="565656"/>
                <w:sz w:val="18"/>
              </w:rPr>
              <w:t>The committee duty does need one</w:t>
            </w:r>
          </w:p>
        </w:tc>
        <w:tc>
          <w:tcPr>
            <w:tcW w:type="dxa" w:w="5184"/>
          </w:tcPr>
          <w:p>
            <w:pPr>
              <w:spacing w:after="40"/>
            </w:pPr>
            <w:r/>
            <w:r>
              <w:rPr>
                <w:rFonts w:ascii="Calibri" w:hAnsi="Calibri"/>
                <w:color w:val="565656"/>
                <w:sz w:val="18"/>
              </w:rPr>
              <w:t>The appropriate Government MAY, by general or special order, require an establishment to constitute a Safety Committee. No order, no committee. For the central sphere the requirement is in the rules themselves, not in a separate notification: rule 14(1) requires one at 500 workers.</w:t>
            </w:r>
          </w:p>
        </w:tc>
        <w:tc>
          <w:tcPr>
            <w:tcW w:type="dxa" w:w="2448"/>
          </w:tcPr>
          <w:p>
            <w:pPr>
              <w:spacing w:after="40"/>
            </w:pPr>
            <w:r/>
            <w:r>
              <w:rPr>
                <w:rFonts w:ascii="Calibri" w:hAnsi="Calibri"/>
                <w:color w:val="565656"/>
                <w:sz w:val="18"/>
              </w:rPr>
              <w:t>OSH Code, s.22(1) with rule 14(1)</w:t>
            </w:r>
          </w:p>
        </w:tc>
      </w:tr>
      <w:tr>
        <w:tc>
          <w:tcPr>
            <w:tcW w:type="dxa" w:w="2304"/>
          </w:tcPr>
          <w:p>
            <w:pPr>
              <w:spacing w:after="40"/>
            </w:pPr>
            <w:r/>
            <w:r>
              <w:rPr>
                <w:rFonts w:ascii="Calibri" w:hAnsi="Calibri"/>
                <w:color w:val="565656"/>
                <w:sz w:val="18"/>
              </w:rPr>
              <w:t>Some mines are outside the Code altogether</w:t>
            </w:r>
          </w:p>
        </w:tc>
        <w:tc>
          <w:tcPr>
            <w:tcW w:type="dxa" w:w="5184"/>
          </w:tcPr>
          <w:p>
            <w:pPr>
              <w:spacing w:after="40"/>
            </w:pPr>
            <w:r/>
            <w:r>
              <w:rPr>
                <w:rFonts w:ascii="Calibri" w:hAnsi="Calibri"/>
                <w:color w:val="565656"/>
                <w:sz w:val="18"/>
              </w:rPr>
              <w:t>Rule 108 disapplies the Code, except sections 35, 38, 40, 41 and 44, to a mine excavating only for PROSPECTING on the conditions in 108(1)(i), and to a mine extracting minor minerals: kankar, murram, laterite, boulder, gravel, shingle, ordinary sand, ordinary clay, building stone, slate, road metal, earth, fuller's earth, marl, chalk and limestone. Section 22 is NOT in the excepted list, so where rule 108 applies no safety officer is owed under this Code at any headcount. Read the provisos: for minor minerals it is enough that the workings do not extend below superjacent ground, OR that an opencast working stays under six metres deep, under fifty persons a day and uses no explosives. The Central Government can switch the Code back on for such a mine by order under 108(3).</w:t>
            </w:r>
          </w:p>
        </w:tc>
        <w:tc>
          <w:tcPr>
            <w:tcW w:type="dxa" w:w="2448"/>
          </w:tcPr>
          <w:p>
            <w:pPr>
              <w:spacing w:after="40"/>
            </w:pPr>
            <w:r/>
            <w:r>
              <w:rPr>
                <w:rFonts w:ascii="Calibri" w:hAnsi="Calibri"/>
                <w:color w:val="565656"/>
                <w:sz w:val="18"/>
              </w:rPr>
              <w:t>OSH (Central) Rules, rule 108</w:t>
            </w:r>
          </w:p>
        </w:tc>
      </w:tr>
      <w:tr>
        <w:tc>
          <w:tcPr>
            <w:tcW w:type="dxa" w:w="2304"/>
          </w:tcPr>
          <w:p>
            <w:pPr>
              <w:spacing w:after="40"/>
            </w:pPr>
            <w:r/>
            <w:r>
              <w:rPr>
                <w:rFonts w:ascii="Calibri" w:hAnsi="Calibri"/>
                <w:color w:val="565656"/>
                <w:sz w:val="18"/>
              </w:rPr>
              <w:t>Whose rules prescribe the detail</w:t>
            </w:r>
          </w:p>
        </w:tc>
        <w:tc>
          <w:tcPr>
            <w:tcW w:type="dxa" w:w="5184"/>
          </w:tcPr>
          <w:p>
            <w:pPr>
              <w:spacing w:after="40"/>
            </w:pPr>
            <w:r/>
            <w:r>
              <w:rPr>
                <w:rFonts w:ascii="Calibri" w:hAnsi="Calibri"/>
                <w:color w:val="565656"/>
                <w:sz w:val="18"/>
              </w:rPr>
              <w:t>Section 22 defers to the APPROPRIATE Government for the number, the qualifications, the duties and the committee's manner. Under OSH section 2 that is the Centre only for railways, mines, oil fields, major ports, air transport, telecommunication, banking and insurance under a Central Act, central public sector undertakings and contractors for them. A FACTORY is the State.</w:t>
            </w:r>
          </w:p>
        </w:tc>
        <w:tc>
          <w:tcPr>
            <w:tcW w:type="dxa" w:w="2448"/>
          </w:tcPr>
          <w:p>
            <w:pPr>
              <w:spacing w:after="40"/>
            </w:pPr>
            <w:r/>
            <w:r>
              <w:rPr>
                <w:rFonts w:ascii="Calibri" w:hAnsi="Calibri"/>
                <w:color w:val="565656"/>
                <w:sz w:val="18"/>
              </w:rPr>
              <w:t>OSH Code, s.2 with s.22</w:t>
            </w:r>
          </w:p>
        </w:tc>
      </w:tr>
    </w:tbl>
    <w:p>
      <w:pPr>
        <w:keepNext w:val="0"/>
        <w:spacing w:after="160" w:before="0"/>
      </w:pPr>
      <w:r>
        <w:rPr>
          <w:rFonts w:ascii="Calibri" w:hAnsi="Calibri"/>
          <w:b w:val="0"/>
          <w:i w:val="0"/>
          <w:color w:val="1D1D1D"/>
          <w:sz w:val="21"/>
        </w:rPr>
      </w:r>
    </w:p>
    <w:p>
      <w:pPr>
        <w:keepNext w:val="0"/>
        <w:spacing w:after="120" w:before="0"/>
      </w:pPr>
      <w:r>
        <w:rPr>
          <w:rFonts w:ascii="Calibri" w:hAnsi="Calibri"/>
          <w:b/>
          <w:i w:val="0"/>
          <w:color w:val="1D1D1D"/>
          <w:sz w:val="22"/>
        </w:rPr>
        <w:t>The thresholds, side by side</w:t>
      </w:r>
    </w:p>
    <w:tbl>
      <w:tblPr>
        <w:tblStyle w:val="TableGrid"/>
        <w:tblW w:type="auto" w:w="0"/>
        <w:tblLook w:firstColumn="1" w:firstRow="1" w:lastColumn="0" w:lastRow="0" w:noHBand="0" w:noVBand="1" w:val="04A0"/>
      </w:tblPr>
      <w:tblGrid>
        <w:gridCol w:w="3216"/>
        <w:gridCol w:w="3216"/>
        <w:gridCol w:w="3216"/>
      </w:tblGrid>
      <w:tr>
        <w:tc>
          <w:tcPr>
            <w:tcW w:type="dxa" w:w="3744"/>
          </w:tcPr>
          <w:p>
            <w:pPr>
              <w:spacing w:after="40"/>
              <w:shd w:val="clear" w:fill="E8F4FC"/>
            </w:pPr>
            <w:r/>
            <w:r>
              <w:rPr>
                <w:rFonts w:ascii="Calibri" w:hAnsi="Calibri"/>
                <w:b/>
                <w:color w:val="0069A4"/>
                <w:sz w:val="18"/>
              </w:rPr>
              <w:t>Kind of establishment</w:t>
            </w:r>
          </w:p>
        </w:tc>
        <w:tc>
          <w:tcPr>
            <w:tcW w:type="dxa" w:w="3024"/>
          </w:tcPr>
          <w:p>
            <w:pPr>
              <w:spacing w:after="40"/>
              <w:shd w:val="clear" w:fill="E8F4FC"/>
            </w:pPr>
            <w:r/>
            <w:r>
              <w:rPr>
                <w:rFonts w:ascii="Calibri" w:hAnsi="Calibri"/>
                <w:b/>
                <w:color w:val="0069A4"/>
                <w:sz w:val="18"/>
              </w:rPr>
              <w:t>Safety officer owed at</w:t>
            </w:r>
          </w:p>
        </w:tc>
        <w:tc>
          <w:tcPr>
            <w:tcW w:type="dxa" w:w="3168"/>
          </w:tcPr>
          <w:p>
            <w:pPr>
              <w:spacing w:after="40"/>
              <w:shd w:val="clear" w:fill="E8F4FC"/>
            </w:pPr>
            <w:r/>
            <w:r>
              <w:rPr>
                <w:rFonts w:ascii="Calibri" w:hAnsi="Calibri"/>
                <w:b/>
                <w:color w:val="0069A4"/>
                <w:sz w:val="18"/>
              </w:rPr>
              <w:t>Provision</w:t>
            </w:r>
          </w:p>
        </w:tc>
      </w:tr>
      <w:tr>
        <w:tc>
          <w:tcPr>
            <w:tcW w:type="dxa" w:w="3744"/>
          </w:tcPr>
          <w:p>
            <w:pPr>
              <w:spacing w:after="40"/>
            </w:pPr>
            <w:r/>
            <w:r>
              <w:rPr>
                <w:rFonts w:ascii="Calibri" w:hAnsi="Calibri"/>
                <w:color w:val="565656"/>
                <w:sz w:val="18"/>
              </w:rPr>
              <w:t>Factory</w:t>
            </w:r>
          </w:p>
        </w:tc>
        <w:tc>
          <w:tcPr>
            <w:tcW w:type="dxa" w:w="3024"/>
          </w:tcPr>
          <w:p>
            <w:pPr>
              <w:spacing w:after="40"/>
            </w:pPr>
            <w:r/>
            <w:r>
              <w:rPr>
                <w:rFonts w:ascii="Calibri" w:hAnsi="Calibri"/>
                <w:color w:val="565656"/>
                <w:sz w:val="18"/>
              </w:rPr>
              <w:t>500 workers or more</w:t>
            </w:r>
          </w:p>
        </w:tc>
        <w:tc>
          <w:tcPr>
            <w:tcW w:type="dxa" w:w="3168"/>
          </w:tcPr>
          <w:p>
            <w:pPr>
              <w:spacing w:after="40"/>
            </w:pPr>
            <w:r/>
            <w:r>
              <w:rPr>
                <w:rFonts w:ascii="Calibri" w:hAnsi="Calibri"/>
                <w:color w:val="565656"/>
                <w:sz w:val="18"/>
              </w:rPr>
              <w:t>s.22(2)(a)</w:t>
            </w:r>
          </w:p>
        </w:tc>
      </w:tr>
      <w:tr>
        <w:tc>
          <w:tcPr>
            <w:tcW w:type="dxa" w:w="3744"/>
          </w:tcPr>
          <w:p>
            <w:pPr>
              <w:spacing w:after="40"/>
            </w:pPr>
            <w:r/>
            <w:r>
              <w:rPr>
                <w:rFonts w:ascii="Calibri" w:hAnsi="Calibri"/>
                <w:color w:val="565656"/>
                <w:sz w:val="18"/>
              </w:rPr>
              <w:t>Factory carrying on a hazardous process</w:t>
            </w:r>
          </w:p>
        </w:tc>
        <w:tc>
          <w:tcPr>
            <w:tcW w:type="dxa" w:w="3024"/>
          </w:tcPr>
          <w:p>
            <w:pPr>
              <w:spacing w:after="40"/>
            </w:pPr>
            <w:r/>
            <w:r>
              <w:rPr>
                <w:rFonts w:ascii="Calibri" w:hAnsi="Calibri"/>
                <w:color w:val="565656"/>
                <w:sz w:val="18"/>
              </w:rPr>
              <w:t>250 workers or more</w:t>
            </w:r>
          </w:p>
        </w:tc>
        <w:tc>
          <w:tcPr>
            <w:tcW w:type="dxa" w:w="3168"/>
          </w:tcPr>
          <w:p>
            <w:pPr>
              <w:spacing w:after="40"/>
            </w:pPr>
            <w:r/>
            <w:r>
              <w:rPr>
                <w:rFonts w:ascii="Calibri" w:hAnsi="Calibri"/>
                <w:color w:val="565656"/>
                <w:sz w:val="18"/>
              </w:rPr>
              <w:t>s.22(2)(b)</w:t>
            </w:r>
          </w:p>
        </w:tc>
      </w:tr>
      <w:tr>
        <w:tc>
          <w:tcPr>
            <w:tcW w:type="dxa" w:w="3744"/>
          </w:tcPr>
          <w:p>
            <w:pPr>
              <w:spacing w:after="40"/>
            </w:pPr>
            <w:r/>
            <w:r>
              <w:rPr>
                <w:rFonts w:ascii="Calibri" w:hAnsi="Calibri"/>
                <w:color w:val="565656"/>
                <w:sz w:val="18"/>
              </w:rPr>
              <w:t>Building or other construction work</w:t>
            </w:r>
          </w:p>
        </w:tc>
        <w:tc>
          <w:tcPr>
            <w:tcW w:type="dxa" w:w="3024"/>
          </w:tcPr>
          <w:p>
            <w:pPr>
              <w:spacing w:after="40"/>
            </w:pPr>
            <w:r/>
            <w:r>
              <w:rPr>
                <w:rFonts w:ascii="Calibri" w:hAnsi="Calibri"/>
                <w:color w:val="565656"/>
                <w:sz w:val="18"/>
              </w:rPr>
              <w:t>250 workers or more</w:t>
            </w:r>
          </w:p>
        </w:tc>
        <w:tc>
          <w:tcPr>
            <w:tcW w:type="dxa" w:w="3168"/>
          </w:tcPr>
          <w:p>
            <w:pPr>
              <w:spacing w:after="40"/>
            </w:pPr>
            <w:r/>
            <w:r>
              <w:rPr>
                <w:rFonts w:ascii="Calibri" w:hAnsi="Calibri"/>
                <w:color w:val="565656"/>
                <w:sz w:val="18"/>
              </w:rPr>
              <w:t>s.22(2)(c)</w:t>
            </w:r>
          </w:p>
        </w:tc>
      </w:tr>
      <w:tr>
        <w:tc>
          <w:tcPr>
            <w:tcW w:type="dxa" w:w="3744"/>
          </w:tcPr>
          <w:p>
            <w:pPr>
              <w:spacing w:after="40"/>
            </w:pPr>
            <w:r/>
            <w:r>
              <w:rPr>
                <w:rFonts w:ascii="Calibri" w:hAnsi="Calibri"/>
                <w:color w:val="565656"/>
                <w:sz w:val="18"/>
              </w:rPr>
              <w:t>Mine</w:t>
            </w:r>
          </w:p>
        </w:tc>
        <w:tc>
          <w:tcPr>
            <w:tcW w:type="dxa" w:w="3024"/>
          </w:tcPr>
          <w:p>
            <w:pPr>
              <w:spacing w:after="40"/>
            </w:pPr>
            <w:r/>
            <w:r>
              <w:rPr>
                <w:rFonts w:ascii="Calibri" w:hAnsi="Calibri"/>
                <w:color w:val="565656"/>
                <w:sz w:val="18"/>
              </w:rPr>
              <w:t>100 workers or more</w:t>
            </w:r>
          </w:p>
        </w:tc>
        <w:tc>
          <w:tcPr>
            <w:tcW w:type="dxa" w:w="3168"/>
          </w:tcPr>
          <w:p>
            <w:pPr>
              <w:spacing w:after="40"/>
            </w:pPr>
            <w:r/>
            <w:r>
              <w:rPr>
                <w:rFonts w:ascii="Calibri" w:hAnsi="Calibri"/>
                <w:color w:val="565656"/>
                <w:sz w:val="18"/>
              </w:rPr>
              <w:t>s.22(2)(d)</w:t>
            </w:r>
          </w:p>
        </w:tc>
      </w:tr>
      <w:tr>
        <w:tc>
          <w:tcPr>
            <w:tcW w:type="dxa" w:w="3744"/>
          </w:tcPr>
          <w:p>
            <w:pPr>
              <w:spacing w:after="40"/>
            </w:pPr>
            <w:r/>
            <w:r>
              <w:rPr>
                <w:rFonts w:ascii="Calibri" w:hAnsi="Calibri"/>
                <w:color w:val="565656"/>
                <w:sz w:val="18"/>
              </w:rPr>
              <w:t>Dock work</w:t>
            </w:r>
          </w:p>
        </w:tc>
        <w:tc>
          <w:tcPr>
            <w:tcW w:type="dxa" w:w="3024"/>
          </w:tcPr>
          <w:p>
            <w:pPr>
              <w:spacing w:after="40"/>
            </w:pPr>
            <w:r/>
            <w:r>
              <w:rPr>
                <w:rFonts w:ascii="Calibri" w:hAnsi="Calibri"/>
                <w:color w:val="565656"/>
                <w:sz w:val="18"/>
              </w:rPr>
              <w:t>500 workers or more</w:t>
            </w:r>
          </w:p>
        </w:tc>
        <w:tc>
          <w:tcPr>
            <w:tcW w:type="dxa" w:w="3168"/>
          </w:tcPr>
          <w:p>
            <w:pPr>
              <w:spacing w:after="40"/>
            </w:pPr>
            <w:r/>
            <w:r>
              <w:rPr>
                <w:rFonts w:ascii="Calibri" w:hAnsi="Calibri"/>
                <w:color w:val="565656"/>
                <w:sz w:val="18"/>
              </w:rPr>
              <w:t>rule 18(1), not in s.22(2)</w:t>
            </w:r>
          </w:p>
        </w:tc>
      </w:tr>
    </w:tbl>
    <w:p>
      <w:pPr>
        <w:keepNext w:val="0"/>
        <w:spacing w:after="120" w:before="0"/>
      </w:pPr>
      <w:r>
        <w:rPr>
          <w:rFonts w:ascii="Calibri" w:hAnsi="Calibri"/>
          <w:b w:val="0"/>
          <w:i w:val="0"/>
          <w:color w:val="1D1D1D"/>
          <w:sz w:val="21"/>
        </w:rPr>
      </w:r>
    </w:p>
    <w:p>
      <w:pPr>
        <w:keepNext w:val="0"/>
        <w:spacing w:after="160" w:before="0"/>
      </w:pPr>
      <w:r>
        <w:rPr>
          <w:rFonts w:ascii="Calibri" w:hAnsi="Calibri"/>
          <w:b w:val="0"/>
          <w:i/>
          <w:color w:val="565656"/>
          <w:sz w:val="19"/>
        </w:rPr>
        <w:t>Dock work is in the last row because rule 18(1) prescribes a scale for it although section 22(2) does not list it. Read it as the Centre prescribing for an establishment it governs, not as a fifth limb of the section.</w:t>
      </w:r>
    </w:p>
    <w:p>
      <w:pPr>
        <w:spacing w:after="120"/>
        <w:ind w:left="288"/>
      </w:pPr>
      <w:r>
        <w:rPr>
          <w:rFonts w:ascii="Calibri" w:hAnsi="Calibri"/>
          <w:b/>
          <w:color w:val="0069A4"/>
          <w:sz w:val="17"/>
        </w:rPr>
        <w:t xml:space="preserve">Rests on  </w:t>
      </w:r>
      <w:r>
        <w:rPr>
          <w:rFonts w:ascii="Calibri" w:hAnsi="Calibri"/>
          <w:i/>
          <w:color w:val="565656"/>
          <w:sz w:val="17"/>
        </w:rPr>
        <w:t>OSH Code, 2020, s.22(2) and s.2; OSH (Central) Rules, 2026, rules 14(1) and 18(1)</w:t>
      </w:r>
    </w:p>
    <w:p>
      <w:r>
        <w:br w:type="page"/>
      </w:r>
    </w:p>
    <w:p>
      <w:pPr>
        <w:pStyle w:val="Heading1"/>
        <w:keepNext/>
        <w:spacing w:after="200" w:before="80"/>
        <w:ind w:left="115"/>
        <w:shd w:val="clear" w:fill="008CDB"/>
      </w:pPr>
      <w:r>
        <w:rPr>
          <w:rFonts w:ascii="Calibri" w:hAnsi="Calibri"/>
          <w:b/>
          <w:color w:val="FFFFFF"/>
          <w:sz w:val="22"/>
        </w:rPr>
        <w:t>2  ·  THE TWO DUTIES, AND WHY ONLY ONE NEEDS AN ORDER</w:t>
      </w:r>
    </w:p>
    <w:p>
      <w:pPr>
        <w:keepNext w:val="0"/>
        <w:spacing w:after="200" w:before="0"/>
      </w:pPr>
      <w:r>
        <w:rPr>
          <w:rFonts w:ascii="Calibri" w:hAnsi="Calibri"/>
          <w:b w:val="0"/>
          <w:i w:val="0"/>
          <w:color w:val="1D1D1D"/>
          <w:sz w:val="21"/>
        </w:rPr>
        <w:t>This is the distinction most guidance loses, and losing it gets the officer wrong in the employer's favour.</w:t>
      </w:r>
    </w:p>
    <w:tbl>
      <w:tblPr>
        <w:tblStyle w:val="TableGrid"/>
        <w:tblW w:type="auto" w:w="0"/>
        <w:tblLook w:firstColumn="1" w:firstRow="1" w:lastColumn="0" w:lastRow="0" w:noHBand="0" w:noVBand="1" w:val="04A0"/>
      </w:tblPr>
      <w:tblGrid>
        <w:gridCol w:w="3216"/>
        <w:gridCol w:w="3216"/>
        <w:gridCol w:w="3216"/>
      </w:tblGrid>
      <w:tr>
        <w:tc>
          <w:tcPr>
            <w:tcW w:type="dxa" w:w="2160"/>
          </w:tcPr>
          <w:p>
            <w:pPr>
              <w:spacing w:after="40"/>
              <w:shd w:val="clear" w:fill="E8F4FC"/>
            </w:pPr>
            <w:r/>
            <w:r>
              <w:rPr>
                <w:rFonts w:ascii="Calibri" w:hAnsi="Calibri"/>
                <w:b/>
                <w:color w:val="0069A4"/>
                <w:sz w:val="18"/>
              </w:rPr>
            </w:r>
          </w:p>
        </w:tc>
        <w:tc>
          <w:tcPr>
            <w:tcW w:type="dxa" w:w="3456"/>
          </w:tcPr>
          <w:p>
            <w:pPr>
              <w:spacing w:after="40"/>
              <w:shd w:val="clear" w:fill="E8F4FC"/>
            </w:pPr>
            <w:r/>
            <w:r>
              <w:rPr>
                <w:rFonts w:ascii="Calibri" w:hAnsi="Calibri"/>
                <w:b/>
                <w:color w:val="0069A4"/>
                <w:sz w:val="18"/>
              </w:rPr>
              <w:t>The safety officer</w:t>
            </w:r>
          </w:p>
        </w:tc>
        <w:tc>
          <w:tcPr>
            <w:tcW w:type="dxa" w:w="4320"/>
          </w:tcPr>
          <w:p>
            <w:pPr>
              <w:spacing w:after="40"/>
              <w:shd w:val="clear" w:fill="E8F4FC"/>
            </w:pPr>
            <w:r/>
            <w:r>
              <w:rPr>
                <w:rFonts w:ascii="Calibri" w:hAnsi="Calibri"/>
                <w:b/>
                <w:color w:val="0069A4"/>
                <w:sz w:val="18"/>
              </w:rPr>
              <w:t>The Safety Committee</w:t>
            </w:r>
          </w:p>
        </w:tc>
      </w:tr>
      <w:tr>
        <w:tc>
          <w:tcPr>
            <w:tcW w:type="dxa" w:w="2160"/>
          </w:tcPr>
          <w:p>
            <w:pPr>
              <w:spacing w:after="40"/>
            </w:pPr>
            <w:r/>
            <w:r>
              <w:rPr>
                <w:rFonts w:ascii="Calibri" w:hAnsi="Calibri"/>
                <w:color w:val="565656"/>
                <w:sz w:val="18"/>
              </w:rPr>
              <w:t>Where the duty comes from</w:t>
            </w:r>
          </w:p>
        </w:tc>
        <w:tc>
          <w:tcPr>
            <w:tcW w:type="dxa" w:w="3456"/>
          </w:tcPr>
          <w:p>
            <w:pPr>
              <w:spacing w:after="40"/>
            </w:pPr>
            <w:r/>
            <w:r>
              <w:rPr>
                <w:rFonts w:ascii="Calibri" w:hAnsi="Calibri"/>
                <w:color w:val="565656"/>
                <w:sz w:val="18"/>
              </w:rPr>
              <w:t>Section 22(2) of the Code</w:t>
            </w:r>
          </w:p>
        </w:tc>
        <w:tc>
          <w:tcPr>
            <w:tcW w:type="dxa" w:w="4320"/>
          </w:tcPr>
          <w:p>
            <w:pPr>
              <w:spacing w:after="40"/>
            </w:pPr>
            <w:r/>
            <w:r>
              <w:rPr>
                <w:rFonts w:ascii="Calibri" w:hAnsi="Calibri"/>
                <w:color w:val="565656"/>
                <w:sz w:val="18"/>
              </w:rPr>
              <w:t>Section 22(1), but only once the appropriate Government requires it by general or special order</w:t>
            </w:r>
          </w:p>
        </w:tc>
      </w:tr>
      <w:tr>
        <w:tc>
          <w:tcPr>
            <w:tcW w:type="dxa" w:w="2160"/>
          </w:tcPr>
          <w:p>
            <w:pPr>
              <w:spacing w:after="40"/>
            </w:pPr>
            <w:r/>
            <w:r>
              <w:rPr>
                <w:rFonts w:ascii="Calibri" w:hAnsi="Calibri"/>
                <w:color w:val="565656"/>
                <w:sz w:val="18"/>
              </w:rPr>
              <w:t>Does it need an order?</w:t>
            </w:r>
          </w:p>
        </w:tc>
        <w:tc>
          <w:tcPr>
            <w:tcW w:type="dxa" w:w="3456"/>
          </w:tcPr>
          <w:p>
            <w:pPr>
              <w:spacing w:after="40"/>
            </w:pPr>
            <w:r/>
            <w:r>
              <w:rPr>
                <w:rFonts w:ascii="Calibri" w:hAnsi="Calibri"/>
                <w:color w:val="565656"/>
                <w:sz w:val="18"/>
              </w:rPr>
              <w:t>No. The employer SHALL ALSO APPOINT.</w:t>
            </w:r>
          </w:p>
        </w:tc>
        <w:tc>
          <w:tcPr>
            <w:tcW w:type="dxa" w:w="4320"/>
          </w:tcPr>
          <w:p>
            <w:pPr>
              <w:spacing w:after="40"/>
            </w:pPr>
            <w:r/>
            <w:r>
              <w:rPr>
                <w:rFonts w:ascii="Calibri" w:hAnsi="Calibri"/>
                <w:color w:val="565656"/>
                <w:sz w:val="18"/>
              </w:rPr>
              <w:t>Yes. For the central sphere rule 14(1) carries it directly, so there is no separate notification to wait for.</w:t>
            </w:r>
          </w:p>
        </w:tc>
      </w:tr>
      <w:tr>
        <w:tc>
          <w:tcPr>
            <w:tcW w:type="dxa" w:w="2160"/>
          </w:tcPr>
          <w:p>
            <w:pPr>
              <w:spacing w:after="40"/>
            </w:pPr>
            <w:r/>
            <w:r>
              <w:rPr>
                <w:rFonts w:ascii="Calibri" w:hAnsi="Calibri"/>
                <w:color w:val="565656"/>
                <w:sz w:val="18"/>
              </w:rPr>
              <w:t>The trigger</w:t>
            </w:r>
          </w:p>
        </w:tc>
        <w:tc>
          <w:tcPr>
            <w:tcW w:type="dxa" w:w="3456"/>
          </w:tcPr>
          <w:p>
            <w:pPr>
              <w:spacing w:after="40"/>
            </w:pPr>
            <w:r/>
            <w:r>
              <w:rPr>
                <w:rFonts w:ascii="Calibri" w:hAnsi="Calibri"/>
                <w:color w:val="565656"/>
                <w:sz w:val="18"/>
              </w:rPr>
              <w:t>Four thresholds by kind of establishment</w:t>
            </w:r>
          </w:p>
        </w:tc>
        <w:tc>
          <w:tcPr>
            <w:tcW w:type="dxa" w:w="4320"/>
          </w:tcPr>
          <w:p>
            <w:pPr>
              <w:spacing w:after="40"/>
            </w:pPr>
            <w:r/>
            <w:r>
              <w:rPr>
                <w:rFonts w:ascii="Calibri" w:hAnsi="Calibri"/>
                <w:color w:val="565656"/>
                <w:sz w:val="18"/>
              </w:rPr>
              <w:t>Five hundred workers, under rule 14(1)</w:t>
            </w:r>
          </w:p>
        </w:tc>
      </w:tr>
      <w:tr>
        <w:tc>
          <w:tcPr>
            <w:tcW w:type="dxa" w:w="2160"/>
          </w:tcPr>
          <w:p>
            <w:pPr>
              <w:spacing w:after="40"/>
            </w:pPr>
            <w:r/>
            <w:r>
              <w:rPr>
                <w:rFonts w:ascii="Calibri" w:hAnsi="Calibri"/>
                <w:color w:val="565656"/>
                <w:sz w:val="18"/>
              </w:rPr>
              <w:t>What is left to be prescribed</w:t>
            </w:r>
          </w:p>
        </w:tc>
        <w:tc>
          <w:tcPr>
            <w:tcW w:type="dxa" w:w="3456"/>
          </w:tcPr>
          <w:p>
            <w:pPr>
              <w:spacing w:after="40"/>
            </w:pPr>
            <w:r/>
            <w:r>
              <w:rPr>
                <w:rFonts w:ascii="Calibri" w:hAnsi="Calibri"/>
                <w:color w:val="565656"/>
                <w:sz w:val="18"/>
              </w:rPr>
              <w:t>The number, the qualifications and the duties</w:t>
            </w:r>
          </w:p>
        </w:tc>
        <w:tc>
          <w:tcPr>
            <w:tcW w:type="dxa" w:w="4320"/>
          </w:tcPr>
          <w:p>
            <w:pPr>
              <w:spacing w:after="40"/>
            </w:pPr>
            <w:r/>
            <w:r>
              <w:rPr>
                <w:rFonts w:ascii="Calibri" w:hAnsi="Calibri"/>
                <w:color w:val="565656"/>
                <w:sz w:val="18"/>
              </w:rPr>
              <w:t>The manner of constituting it</w:t>
            </w:r>
          </w:p>
        </w:tc>
      </w:tr>
    </w:tbl>
    <w:p>
      <w:pPr>
        <w:keepNext w:val="0"/>
        <w:spacing w:after="160" w:before="0"/>
      </w:pPr>
      <w:r>
        <w:rPr>
          <w:rFonts w:ascii="Calibri" w:hAnsi="Calibri"/>
          <w:b w:val="0"/>
          <w:i w:val="0"/>
          <w:color w:val="1D1D1D"/>
          <w:sz w:val="21"/>
        </w:rPr>
      </w:r>
    </w:p>
    <w:p>
      <w:pPr>
        <w:keepNext w:val="0"/>
        <w:spacing w:after="160" w:before="0"/>
        <w:ind w:left="173"/>
        <w:shd w:val="clear" w:fill="FFF6E5"/>
      </w:pPr>
      <w:r>
        <w:rPr>
          <w:rFonts w:ascii="Calibri" w:hAnsi="Calibri"/>
          <w:b w:val="0"/>
          <w:i w:val="0"/>
          <w:color w:val="1D1D1D"/>
          <w:sz w:val="20"/>
        </w:rPr>
        <w:t>So an establishment can owe a safety officer and not owe a Safety Committee, which is the common case below five hundred workers: a hazardous process factory at 260 workers owes the officer under section 22(2)(b) and owes no committee at all. The reverse does not happen, because every threshold that triggers the committee also triggers an officer somewhere.</w:t>
      </w:r>
    </w:p>
    <w:p>
      <w:pPr>
        <w:spacing w:after="120"/>
        <w:ind w:left="288"/>
      </w:pPr>
      <w:r>
        <w:rPr>
          <w:rFonts w:ascii="Calibri" w:hAnsi="Calibri"/>
          <w:b/>
          <w:color w:val="0069A4"/>
          <w:sz w:val="17"/>
        </w:rPr>
        <w:t xml:space="preserve">Rests on  </w:t>
      </w:r>
      <w:r>
        <w:rPr>
          <w:rFonts w:ascii="Calibri" w:hAnsi="Calibri"/>
          <w:i/>
          <w:color w:val="565656"/>
          <w:sz w:val="17"/>
        </w:rPr>
        <w:t>OSH Code, 2020, s.22(1) and s.22(2); OSH (Central) Rules, 2026, rule 14(1)</w:t>
      </w:r>
    </w:p>
    <w:p>
      <w:r>
        <w:br w:type="page"/>
      </w:r>
    </w:p>
    <w:p>
      <w:pPr>
        <w:pStyle w:val="Heading1"/>
        <w:keepNext/>
        <w:spacing w:after="200" w:before="80"/>
        <w:ind w:left="115"/>
        <w:shd w:val="clear" w:fill="008CDB"/>
      </w:pPr>
      <w:r>
        <w:rPr>
          <w:rFonts w:ascii="Calibri" w:hAnsi="Calibri"/>
          <w:b/>
          <w:color w:val="FFFFFF"/>
          <w:sz w:val="22"/>
        </w:rPr>
        <w:t>3  ·  HOW MANY OFFICERS, AND WHO IS ELIGIBLE</w:t>
      </w:r>
    </w:p>
    <w:p>
      <w:pPr>
        <w:keepNext w:val="0"/>
        <w:spacing w:after="200" w:before="0"/>
      </w:pPr>
      <w:r>
        <w:rPr>
          <w:rFonts w:ascii="Calibri" w:hAnsi="Calibri"/>
          <w:b w:val="0"/>
          <w:i w:val="0"/>
          <w:color w:val="1D1D1D"/>
          <w:sz w:val="21"/>
        </w:rPr>
        <w:t>The Centre has prescribed scales for dock work, construction and mines. It has prescribed none for a factory, because a factory is State sphere. Use these as a yardstick and read your own State's rules for your answer.</w:t>
      </w:r>
    </w:p>
    <w:tbl>
      <w:tblPr>
        <w:tblStyle w:val="TableGrid"/>
        <w:tblW w:type="auto" w:w="0"/>
        <w:tblLook w:firstColumn="1" w:firstRow="1" w:lastColumn="0" w:lastRow="0" w:noHBand="0" w:noVBand="1" w:val="04A0"/>
      </w:tblPr>
      <w:tblGrid>
        <w:gridCol w:w="2412"/>
        <w:gridCol w:w="2412"/>
        <w:gridCol w:w="2412"/>
        <w:gridCol w:w="2412"/>
      </w:tblGrid>
      <w:tr>
        <w:tc>
          <w:tcPr>
            <w:tcW w:type="dxa" w:w="2160"/>
          </w:tcPr>
          <w:p>
            <w:pPr>
              <w:spacing w:after="40"/>
              <w:shd w:val="clear" w:fill="E8F4FC"/>
            </w:pPr>
            <w:r/>
            <w:r>
              <w:rPr>
                <w:rFonts w:ascii="Calibri" w:hAnsi="Calibri"/>
                <w:b/>
                <w:color w:val="0069A4"/>
                <w:sz w:val="17"/>
              </w:rPr>
              <w:t>Establishment</w:t>
            </w:r>
          </w:p>
        </w:tc>
        <w:tc>
          <w:tcPr>
            <w:tcW w:type="dxa" w:w="3312"/>
          </w:tcPr>
          <w:p>
            <w:pPr>
              <w:spacing w:after="40"/>
              <w:shd w:val="clear" w:fill="E8F4FC"/>
            </w:pPr>
            <w:r/>
            <w:r>
              <w:rPr>
                <w:rFonts w:ascii="Calibri" w:hAnsi="Calibri"/>
                <w:b/>
                <w:color w:val="0069A4"/>
                <w:sz w:val="17"/>
              </w:rPr>
              <w:t>Workers</w:t>
            </w:r>
          </w:p>
        </w:tc>
        <w:tc>
          <w:tcPr>
            <w:tcW w:type="dxa" w:w="2304"/>
          </w:tcPr>
          <w:p>
            <w:pPr>
              <w:spacing w:after="40"/>
              <w:shd w:val="clear" w:fill="E8F4FC"/>
            </w:pPr>
            <w:r/>
            <w:r>
              <w:rPr>
                <w:rFonts w:ascii="Calibri" w:hAnsi="Calibri"/>
                <w:b/>
                <w:color w:val="0069A4"/>
                <w:sz w:val="17"/>
              </w:rPr>
              <w:t>Safety officers</w:t>
            </w:r>
          </w:p>
        </w:tc>
        <w:tc>
          <w:tcPr>
            <w:tcW w:type="dxa" w:w="2160"/>
          </w:tcPr>
          <w:p>
            <w:pPr>
              <w:spacing w:after="40"/>
              <w:shd w:val="clear" w:fill="E8F4FC"/>
            </w:pPr>
            <w:r/>
            <w:r>
              <w:rPr>
                <w:rFonts w:ascii="Calibri" w:hAnsi="Calibri"/>
                <w:b/>
                <w:color w:val="0069A4"/>
                <w:sz w:val="17"/>
              </w:rPr>
              <w:t>Provision</w:t>
            </w:r>
          </w:p>
        </w:tc>
      </w:tr>
      <w:tr>
        <w:tc>
          <w:tcPr>
            <w:tcW w:type="dxa" w:w="2160"/>
          </w:tcPr>
          <w:p>
            <w:pPr>
              <w:spacing w:after="40"/>
            </w:pPr>
            <w:r/>
            <w:r>
              <w:rPr>
                <w:rFonts w:ascii="Calibri" w:hAnsi="Calibri"/>
                <w:color w:val="565656"/>
                <w:sz w:val="17"/>
              </w:rPr>
              <w:t>Dock work</w:t>
            </w:r>
          </w:p>
        </w:tc>
        <w:tc>
          <w:tcPr>
            <w:tcW w:type="dxa" w:w="3312"/>
          </w:tcPr>
          <w:p>
            <w:pPr>
              <w:spacing w:after="40"/>
            </w:pPr>
            <w:r/>
            <w:r>
              <w:rPr>
                <w:rFonts w:ascii="Calibri" w:hAnsi="Calibri"/>
                <w:color w:val="565656"/>
                <w:sz w:val="17"/>
              </w:rPr>
              <w:t>Up to 1,000 workers</w:t>
            </w:r>
          </w:p>
        </w:tc>
        <w:tc>
          <w:tcPr>
            <w:tcW w:type="dxa" w:w="2304"/>
          </w:tcPr>
          <w:p>
            <w:pPr>
              <w:spacing w:after="40"/>
            </w:pPr>
            <w:r/>
            <w:r>
              <w:rPr>
                <w:rFonts w:ascii="Calibri" w:hAnsi="Calibri"/>
                <w:color w:val="565656"/>
                <w:sz w:val="17"/>
              </w:rPr>
              <w:t>1 safety officer</w:t>
            </w:r>
          </w:p>
        </w:tc>
        <w:tc>
          <w:tcPr>
            <w:tcW w:type="dxa" w:w="2160"/>
          </w:tcPr>
          <w:p>
            <w:pPr>
              <w:spacing w:after="40"/>
            </w:pPr>
            <w:r/>
            <w:r>
              <w:rPr>
                <w:rFonts w:ascii="Calibri" w:hAnsi="Calibri"/>
                <w:color w:val="565656"/>
                <w:sz w:val="17"/>
              </w:rPr>
              <w:t>rule 18(1)(a)</w:t>
            </w:r>
          </w:p>
        </w:tc>
      </w:tr>
      <w:tr>
        <w:tc>
          <w:tcPr>
            <w:tcW w:type="dxa" w:w="2160"/>
          </w:tcPr>
          <w:p>
            <w:pPr>
              <w:spacing w:after="40"/>
            </w:pPr>
            <w:r/>
            <w:r>
              <w:rPr>
                <w:rFonts w:ascii="Calibri" w:hAnsi="Calibri"/>
                <w:color w:val="565656"/>
                <w:sz w:val="17"/>
              </w:rPr>
              <w:t>Dock work</w:t>
            </w:r>
          </w:p>
        </w:tc>
        <w:tc>
          <w:tcPr>
            <w:tcW w:type="dxa" w:w="3312"/>
          </w:tcPr>
          <w:p>
            <w:pPr>
              <w:spacing w:after="40"/>
            </w:pPr>
            <w:r/>
            <w:r>
              <w:rPr>
                <w:rFonts w:ascii="Calibri" w:hAnsi="Calibri"/>
                <w:color w:val="565656"/>
                <w:sz w:val="17"/>
              </w:rPr>
              <w:t>Up to 2,000</w:t>
            </w:r>
          </w:p>
        </w:tc>
        <w:tc>
          <w:tcPr>
            <w:tcW w:type="dxa" w:w="2304"/>
          </w:tcPr>
          <w:p>
            <w:pPr>
              <w:spacing w:after="40"/>
            </w:pPr>
            <w:r/>
            <w:r>
              <w:rPr>
                <w:rFonts w:ascii="Calibri" w:hAnsi="Calibri"/>
                <w:color w:val="565656"/>
                <w:sz w:val="17"/>
              </w:rPr>
              <w:t>2</w:t>
            </w:r>
          </w:p>
        </w:tc>
        <w:tc>
          <w:tcPr>
            <w:tcW w:type="dxa" w:w="2160"/>
          </w:tcPr>
          <w:p>
            <w:pPr>
              <w:spacing w:after="40"/>
            </w:pPr>
            <w:r/>
            <w:r>
              <w:rPr>
                <w:rFonts w:ascii="Calibri" w:hAnsi="Calibri"/>
                <w:color w:val="565656"/>
                <w:sz w:val="17"/>
              </w:rPr>
              <w:t>rule 18(1)(a)</w:t>
            </w:r>
          </w:p>
        </w:tc>
      </w:tr>
      <w:tr>
        <w:tc>
          <w:tcPr>
            <w:tcW w:type="dxa" w:w="2160"/>
          </w:tcPr>
          <w:p>
            <w:pPr>
              <w:spacing w:after="40"/>
            </w:pPr>
            <w:r/>
            <w:r>
              <w:rPr>
                <w:rFonts w:ascii="Calibri" w:hAnsi="Calibri"/>
                <w:color w:val="565656"/>
                <w:sz w:val="17"/>
              </w:rPr>
              <w:t>Dock work</w:t>
            </w:r>
          </w:p>
        </w:tc>
        <w:tc>
          <w:tcPr>
            <w:tcW w:type="dxa" w:w="3312"/>
          </w:tcPr>
          <w:p>
            <w:pPr>
              <w:spacing w:after="40"/>
            </w:pPr>
            <w:r/>
            <w:r>
              <w:rPr>
                <w:rFonts w:ascii="Calibri" w:hAnsi="Calibri"/>
                <w:color w:val="565656"/>
                <w:sz w:val="17"/>
              </w:rPr>
              <w:t>Up to 5,000</w:t>
            </w:r>
          </w:p>
        </w:tc>
        <w:tc>
          <w:tcPr>
            <w:tcW w:type="dxa" w:w="2304"/>
          </w:tcPr>
          <w:p>
            <w:pPr>
              <w:spacing w:after="40"/>
            </w:pPr>
            <w:r/>
            <w:r>
              <w:rPr>
                <w:rFonts w:ascii="Calibri" w:hAnsi="Calibri"/>
                <w:color w:val="565656"/>
                <w:sz w:val="17"/>
              </w:rPr>
              <w:t>3</w:t>
            </w:r>
          </w:p>
        </w:tc>
        <w:tc>
          <w:tcPr>
            <w:tcW w:type="dxa" w:w="2160"/>
          </w:tcPr>
          <w:p>
            <w:pPr>
              <w:spacing w:after="40"/>
            </w:pPr>
            <w:r/>
            <w:r>
              <w:rPr>
                <w:rFonts w:ascii="Calibri" w:hAnsi="Calibri"/>
                <w:color w:val="565656"/>
                <w:sz w:val="17"/>
              </w:rPr>
              <w:t>rule 18(1)(a)</w:t>
            </w:r>
          </w:p>
        </w:tc>
      </w:tr>
      <w:tr>
        <w:tc>
          <w:tcPr>
            <w:tcW w:type="dxa" w:w="2160"/>
          </w:tcPr>
          <w:p>
            <w:pPr>
              <w:spacing w:after="40"/>
            </w:pPr>
            <w:r/>
            <w:r>
              <w:rPr>
                <w:rFonts w:ascii="Calibri" w:hAnsi="Calibri"/>
                <w:color w:val="565656"/>
                <w:sz w:val="17"/>
              </w:rPr>
              <w:t>Dock work</w:t>
            </w:r>
          </w:p>
        </w:tc>
        <w:tc>
          <w:tcPr>
            <w:tcW w:type="dxa" w:w="3312"/>
          </w:tcPr>
          <w:p>
            <w:pPr>
              <w:spacing w:after="40"/>
            </w:pPr>
            <w:r/>
            <w:r>
              <w:rPr>
                <w:rFonts w:ascii="Calibri" w:hAnsi="Calibri"/>
                <w:color w:val="565656"/>
                <w:sz w:val="17"/>
              </w:rPr>
              <w:t>Up to 10,000</w:t>
            </w:r>
          </w:p>
        </w:tc>
        <w:tc>
          <w:tcPr>
            <w:tcW w:type="dxa" w:w="2304"/>
          </w:tcPr>
          <w:p>
            <w:pPr>
              <w:spacing w:after="40"/>
            </w:pPr>
            <w:r/>
            <w:r>
              <w:rPr>
                <w:rFonts w:ascii="Calibri" w:hAnsi="Calibri"/>
                <w:color w:val="565656"/>
                <w:sz w:val="17"/>
              </w:rPr>
              <w:t>4</w:t>
            </w:r>
          </w:p>
        </w:tc>
        <w:tc>
          <w:tcPr>
            <w:tcW w:type="dxa" w:w="2160"/>
          </w:tcPr>
          <w:p>
            <w:pPr>
              <w:spacing w:after="40"/>
            </w:pPr>
            <w:r/>
            <w:r>
              <w:rPr>
                <w:rFonts w:ascii="Calibri" w:hAnsi="Calibri"/>
                <w:color w:val="565656"/>
                <w:sz w:val="17"/>
              </w:rPr>
              <w:t>rule 18(1)(a)</w:t>
            </w:r>
          </w:p>
        </w:tc>
      </w:tr>
      <w:tr>
        <w:tc>
          <w:tcPr>
            <w:tcW w:type="dxa" w:w="2160"/>
          </w:tcPr>
          <w:p>
            <w:pPr>
              <w:spacing w:after="40"/>
            </w:pPr>
            <w:r/>
            <w:r>
              <w:rPr>
                <w:rFonts w:ascii="Calibri" w:hAnsi="Calibri"/>
                <w:color w:val="565656"/>
                <w:sz w:val="17"/>
              </w:rPr>
              <w:t>Dock work</w:t>
            </w:r>
          </w:p>
        </w:tc>
        <w:tc>
          <w:tcPr>
            <w:tcW w:type="dxa" w:w="3312"/>
          </w:tcPr>
          <w:p>
            <w:pPr>
              <w:spacing w:after="40"/>
            </w:pPr>
            <w:r/>
            <w:r>
              <w:rPr>
                <w:rFonts w:ascii="Calibri" w:hAnsi="Calibri"/>
                <w:color w:val="565656"/>
                <w:sz w:val="17"/>
              </w:rPr>
              <w:t>Every additional 5,000 or part</w:t>
            </w:r>
          </w:p>
        </w:tc>
        <w:tc>
          <w:tcPr>
            <w:tcW w:type="dxa" w:w="2304"/>
          </w:tcPr>
          <w:p>
            <w:pPr>
              <w:spacing w:after="40"/>
            </w:pPr>
            <w:r/>
            <w:r>
              <w:rPr>
                <w:rFonts w:ascii="Calibri" w:hAnsi="Calibri"/>
                <w:color w:val="565656"/>
                <w:sz w:val="17"/>
              </w:rPr>
              <w:t>one more</w:t>
            </w:r>
          </w:p>
        </w:tc>
        <w:tc>
          <w:tcPr>
            <w:tcW w:type="dxa" w:w="2160"/>
          </w:tcPr>
          <w:p>
            <w:pPr>
              <w:spacing w:after="40"/>
            </w:pPr>
            <w:r/>
            <w:r>
              <w:rPr>
                <w:rFonts w:ascii="Calibri" w:hAnsi="Calibri"/>
                <w:color w:val="565656"/>
                <w:sz w:val="17"/>
              </w:rPr>
              <w:t>rule 18(1)(a)</w:t>
            </w:r>
          </w:p>
        </w:tc>
      </w:tr>
      <w:tr>
        <w:tc>
          <w:tcPr>
            <w:tcW w:type="dxa" w:w="2160"/>
          </w:tcPr>
          <w:p>
            <w:pPr>
              <w:spacing w:after="40"/>
            </w:pPr>
            <w:r/>
            <w:r>
              <w:rPr>
                <w:rFonts w:ascii="Calibri" w:hAnsi="Calibri"/>
                <w:color w:val="565656"/>
                <w:sz w:val="17"/>
              </w:rPr>
              <w:t>Construction</w:t>
            </w:r>
          </w:p>
        </w:tc>
        <w:tc>
          <w:tcPr>
            <w:tcW w:type="dxa" w:w="3312"/>
          </w:tcPr>
          <w:p>
            <w:pPr>
              <w:spacing w:after="40"/>
            </w:pPr>
            <w:r/>
            <w:r>
              <w:rPr>
                <w:rFonts w:ascii="Calibri" w:hAnsi="Calibri"/>
                <w:color w:val="565656"/>
                <w:sz w:val="17"/>
              </w:rPr>
              <w:t>Up to 500 workers</w:t>
            </w:r>
          </w:p>
        </w:tc>
        <w:tc>
          <w:tcPr>
            <w:tcW w:type="dxa" w:w="2304"/>
          </w:tcPr>
          <w:p>
            <w:pPr>
              <w:spacing w:after="40"/>
            </w:pPr>
            <w:r/>
            <w:r>
              <w:rPr>
                <w:rFonts w:ascii="Calibri" w:hAnsi="Calibri"/>
                <w:color w:val="565656"/>
                <w:sz w:val="17"/>
              </w:rPr>
              <w:t>1 safety officer</w:t>
            </w:r>
          </w:p>
        </w:tc>
        <w:tc>
          <w:tcPr>
            <w:tcW w:type="dxa" w:w="2160"/>
          </w:tcPr>
          <w:p>
            <w:pPr>
              <w:spacing w:after="40"/>
            </w:pPr>
            <w:r/>
            <w:r>
              <w:rPr>
                <w:rFonts w:ascii="Calibri" w:hAnsi="Calibri"/>
                <w:color w:val="565656"/>
                <w:sz w:val="17"/>
              </w:rPr>
              <w:t>rule 18(1)(b)</w:t>
            </w:r>
          </w:p>
        </w:tc>
      </w:tr>
      <w:tr>
        <w:tc>
          <w:tcPr>
            <w:tcW w:type="dxa" w:w="2160"/>
          </w:tcPr>
          <w:p>
            <w:pPr>
              <w:spacing w:after="40"/>
            </w:pPr>
            <w:r/>
            <w:r>
              <w:rPr>
                <w:rFonts w:ascii="Calibri" w:hAnsi="Calibri"/>
                <w:color w:val="565656"/>
                <w:sz w:val="17"/>
              </w:rPr>
              <w:t>Construction</w:t>
            </w:r>
          </w:p>
        </w:tc>
        <w:tc>
          <w:tcPr>
            <w:tcW w:type="dxa" w:w="3312"/>
          </w:tcPr>
          <w:p>
            <w:pPr>
              <w:spacing w:after="40"/>
            </w:pPr>
            <w:r/>
            <w:r>
              <w:rPr>
                <w:rFonts w:ascii="Calibri" w:hAnsi="Calibri"/>
                <w:color w:val="565656"/>
                <w:sz w:val="17"/>
              </w:rPr>
              <w:t>Up to 1,000</w:t>
            </w:r>
          </w:p>
        </w:tc>
        <w:tc>
          <w:tcPr>
            <w:tcW w:type="dxa" w:w="2304"/>
          </w:tcPr>
          <w:p>
            <w:pPr>
              <w:spacing w:after="40"/>
            </w:pPr>
            <w:r/>
            <w:r>
              <w:rPr>
                <w:rFonts w:ascii="Calibri" w:hAnsi="Calibri"/>
                <w:color w:val="565656"/>
                <w:sz w:val="17"/>
              </w:rPr>
              <w:t>2</w:t>
            </w:r>
          </w:p>
        </w:tc>
        <w:tc>
          <w:tcPr>
            <w:tcW w:type="dxa" w:w="2160"/>
          </w:tcPr>
          <w:p>
            <w:pPr>
              <w:spacing w:after="40"/>
            </w:pPr>
            <w:r/>
            <w:r>
              <w:rPr>
                <w:rFonts w:ascii="Calibri" w:hAnsi="Calibri"/>
                <w:color w:val="565656"/>
                <w:sz w:val="17"/>
              </w:rPr>
              <w:t>rule 18(1)(b)</w:t>
            </w:r>
          </w:p>
        </w:tc>
      </w:tr>
      <w:tr>
        <w:tc>
          <w:tcPr>
            <w:tcW w:type="dxa" w:w="2160"/>
          </w:tcPr>
          <w:p>
            <w:pPr>
              <w:spacing w:after="40"/>
            </w:pPr>
            <w:r/>
            <w:r>
              <w:rPr>
                <w:rFonts w:ascii="Calibri" w:hAnsi="Calibri"/>
                <w:color w:val="565656"/>
                <w:sz w:val="17"/>
              </w:rPr>
              <w:t>Construction</w:t>
            </w:r>
          </w:p>
        </w:tc>
        <w:tc>
          <w:tcPr>
            <w:tcW w:type="dxa" w:w="3312"/>
          </w:tcPr>
          <w:p>
            <w:pPr>
              <w:spacing w:after="40"/>
            </w:pPr>
            <w:r/>
            <w:r>
              <w:rPr>
                <w:rFonts w:ascii="Calibri" w:hAnsi="Calibri"/>
                <w:color w:val="565656"/>
                <w:sz w:val="17"/>
              </w:rPr>
              <w:t>Up to 2,000</w:t>
            </w:r>
          </w:p>
        </w:tc>
        <w:tc>
          <w:tcPr>
            <w:tcW w:type="dxa" w:w="2304"/>
          </w:tcPr>
          <w:p>
            <w:pPr>
              <w:spacing w:after="40"/>
            </w:pPr>
            <w:r/>
            <w:r>
              <w:rPr>
                <w:rFonts w:ascii="Calibri" w:hAnsi="Calibri"/>
                <w:color w:val="565656"/>
                <w:sz w:val="17"/>
              </w:rPr>
              <w:t>3</w:t>
            </w:r>
          </w:p>
        </w:tc>
        <w:tc>
          <w:tcPr>
            <w:tcW w:type="dxa" w:w="2160"/>
          </w:tcPr>
          <w:p>
            <w:pPr>
              <w:spacing w:after="40"/>
            </w:pPr>
            <w:r/>
            <w:r>
              <w:rPr>
                <w:rFonts w:ascii="Calibri" w:hAnsi="Calibri"/>
                <w:color w:val="565656"/>
                <w:sz w:val="17"/>
              </w:rPr>
              <w:t>rule 18(1)(b)</w:t>
            </w:r>
          </w:p>
        </w:tc>
      </w:tr>
      <w:tr>
        <w:tc>
          <w:tcPr>
            <w:tcW w:type="dxa" w:w="2160"/>
          </w:tcPr>
          <w:p>
            <w:pPr>
              <w:spacing w:after="40"/>
            </w:pPr>
            <w:r/>
            <w:r>
              <w:rPr>
                <w:rFonts w:ascii="Calibri" w:hAnsi="Calibri"/>
                <w:color w:val="565656"/>
                <w:sz w:val="17"/>
              </w:rPr>
              <w:t>Construction</w:t>
            </w:r>
          </w:p>
        </w:tc>
        <w:tc>
          <w:tcPr>
            <w:tcW w:type="dxa" w:w="3312"/>
          </w:tcPr>
          <w:p>
            <w:pPr>
              <w:spacing w:after="40"/>
            </w:pPr>
            <w:r/>
            <w:r>
              <w:rPr>
                <w:rFonts w:ascii="Calibri" w:hAnsi="Calibri"/>
                <w:color w:val="565656"/>
                <w:sz w:val="17"/>
              </w:rPr>
              <w:t>Up to 5,000</w:t>
            </w:r>
          </w:p>
        </w:tc>
        <w:tc>
          <w:tcPr>
            <w:tcW w:type="dxa" w:w="2304"/>
          </w:tcPr>
          <w:p>
            <w:pPr>
              <w:spacing w:after="40"/>
            </w:pPr>
            <w:r/>
            <w:r>
              <w:rPr>
                <w:rFonts w:ascii="Calibri" w:hAnsi="Calibri"/>
                <w:color w:val="565656"/>
                <w:sz w:val="17"/>
              </w:rPr>
              <w:t>4</w:t>
            </w:r>
          </w:p>
        </w:tc>
        <w:tc>
          <w:tcPr>
            <w:tcW w:type="dxa" w:w="2160"/>
          </w:tcPr>
          <w:p>
            <w:pPr>
              <w:spacing w:after="40"/>
            </w:pPr>
            <w:r/>
            <w:r>
              <w:rPr>
                <w:rFonts w:ascii="Calibri" w:hAnsi="Calibri"/>
                <w:color w:val="565656"/>
                <w:sz w:val="17"/>
              </w:rPr>
              <w:t>rule 18(1)(b)</w:t>
            </w:r>
          </w:p>
        </w:tc>
      </w:tr>
      <w:tr>
        <w:tc>
          <w:tcPr>
            <w:tcW w:type="dxa" w:w="2160"/>
          </w:tcPr>
          <w:p>
            <w:pPr>
              <w:spacing w:after="40"/>
            </w:pPr>
            <w:r/>
            <w:r>
              <w:rPr>
                <w:rFonts w:ascii="Calibri" w:hAnsi="Calibri"/>
                <w:color w:val="565656"/>
                <w:sz w:val="17"/>
              </w:rPr>
              <w:t>Construction</w:t>
            </w:r>
          </w:p>
        </w:tc>
        <w:tc>
          <w:tcPr>
            <w:tcW w:type="dxa" w:w="3312"/>
          </w:tcPr>
          <w:p>
            <w:pPr>
              <w:spacing w:after="40"/>
            </w:pPr>
            <w:r/>
            <w:r>
              <w:rPr>
                <w:rFonts w:ascii="Calibri" w:hAnsi="Calibri"/>
                <w:color w:val="565656"/>
                <w:sz w:val="17"/>
              </w:rPr>
              <w:t>Every additional 2,000 or part</w:t>
            </w:r>
          </w:p>
        </w:tc>
        <w:tc>
          <w:tcPr>
            <w:tcW w:type="dxa" w:w="2304"/>
          </w:tcPr>
          <w:p>
            <w:pPr>
              <w:spacing w:after="40"/>
            </w:pPr>
            <w:r/>
            <w:r>
              <w:rPr>
                <w:rFonts w:ascii="Calibri" w:hAnsi="Calibri"/>
                <w:color w:val="565656"/>
                <w:sz w:val="17"/>
              </w:rPr>
              <w:t>one more</w:t>
            </w:r>
          </w:p>
        </w:tc>
        <w:tc>
          <w:tcPr>
            <w:tcW w:type="dxa" w:w="2160"/>
          </w:tcPr>
          <w:p>
            <w:pPr>
              <w:spacing w:after="40"/>
            </w:pPr>
            <w:r/>
            <w:r>
              <w:rPr>
                <w:rFonts w:ascii="Calibri" w:hAnsi="Calibri"/>
                <w:color w:val="565656"/>
                <w:sz w:val="17"/>
              </w:rPr>
              <w:t>rule 18(1)(b)</w:t>
            </w:r>
          </w:p>
        </w:tc>
      </w:tr>
      <w:tr>
        <w:tc>
          <w:tcPr>
            <w:tcW w:type="dxa" w:w="2160"/>
          </w:tcPr>
          <w:p>
            <w:pPr>
              <w:spacing w:after="40"/>
            </w:pPr>
            <w:r/>
            <w:r>
              <w:rPr>
                <w:rFonts w:ascii="Calibri" w:hAnsi="Calibri"/>
                <w:color w:val="565656"/>
                <w:sz w:val="17"/>
              </w:rPr>
              <w:t>Mine</w:t>
            </w:r>
          </w:p>
        </w:tc>
        <w:tc>
          <w:tcPr>
            <w:tcW w:type="dxa" w:w="3312"/>
          </w:tcPr>
          <w:p>
            <w:pPr>
              <w:spacing w:after="40"/>
            </w:pPr>
            <w:r/>
            <w:r>
              <w:rPr>
                <w:rFonts w:ascii="Calibri" w:hAnsi="Calibri"/>
                <w:color w:val="565656"/>
                <w:sz w:val="17"/>
              </w:rPr>
              <w:t>Up to 500 workers</w:t>
            </w:r>
          </w:p>
        </w:tc>
        <w:tc>
          <w:tcPr>
            <w:tcW w:type="dxa" w:w="2304"/>
          </w:tcPr>
          <w:p>
            <w:pPr>
              <w:spacing w:after="40"/>
            </w:pPr>
            <w:r/>
            <w:r>
              <w:rPr>
                <w:rFonts w:ascii="Calibri" w:hAnsi="Calibri"/>
                <w:color w:val="565656"/>
                <w:sz w:val="17"/>
              </w:rPr>
              <w:t>1 safety officer</w:t>
            </w:r>
          </w:p>
        </w:tc>
        <w:tc>
          <w:tcPr>
            <w:tcW w:type="dxa" w:w="2160"/>
          </w:tcPr>
          <w:p>
            <w:pPr>
              <w:spacing w:after="40"/>
            </w:pPr>
            <w:r/>
            <w:r>
              <w:rPr>
                <w:rFonts w:ascii="Calibri" w:hAnsi="Calibri"/>
                <w:color w:val="565656"/>
                <w:sz w:val="17"/>
              </w:rPr>
              <w:t>rule 20(1)</w:t>
            </w:r>
          </w:p>
        </w:tc>
      </w:tr>
      <w:tr>
        <w:tc>
          <w:tcPr>
            <w:tcW w:type="dxa" w:w="2160"/>
          </w:tcPr>
          <w:p>
            <w:pPr>
              <w:spacing w:after="40"/>
            </w:pPr>
            <w:r/>
            <w:r>
              <w:rPr>
                <w:rFonts w:ascii="Calibri" w:hAnsi="Calibri"/>
                <w:color w:val="565656"/>
                <w:sz w:val="17"/>
              </w:rPr>
              <w:t>Mine</w:t>
            </w:r>
          </w:p>
        </w:tc>
        <w:tc>
          <w:tcPr>
            <w:tcW w:type="dxa" w:w="3312"/>
          </w:tcPr>
          <w:p>
            <w:pPr>
              <w:spacing w:after="40"/>
            </w:pPr>
            <w:r/>
            <w:r>
              <w:rPr>
                <w:rFonts w:ascii="Calibri" w:hAnsi="Calibri"/>
                <w:color w:val="565656"/>
                <w:sz w:val="17"/>
              </w:rPr>
              <w:t>Every additional 500 or part</w:t>
            </w:r>
          </w:p>
        </w:tc>
        <w:tc>
          <w:tcPr>
            <w:tcW w:type="dxa" w:w="2304"/>
          </w:tcPr>
          <w:p>
            <w:pPr>
              <w:spacing w:after="40"/>
            </w:pPr>
            <w:r/>
            <w:r>
              <w:rPr>
                <w:rFonts w:ascii="Calibri" w:hAnsi="Calibri"/>
                <w:color w:val="565656"/>
                <w:sz w:val="17"/>
              </w:rPr>
              <w:t>one more</w:t>
            </w:r>
          </w:p>
        </w:tc>
        <w:tc>
          <w:tcPr>
            <w:tcW w:type="dxa" w:w="2160"/>
          </w:tcPr>
          <w:p>
            <w:pPr>
              <w:spacing w:after="40"/>
            </w:pPr>
            <w:r/>
            <w:r>
              <w:rPr>
                <w:rFonts w:ascii="Calibri" w:hAnsi="Calibri"/>
                <w:color w:val="565656"/>
                <w:sz w:val="17"/>
              </w:rPr>
              <w:t>rule 20(1)</w:t>
            </w:r>
          </w:p>
        </w:tc>
      </w:tr>
    </w:tbl>
    <w:p>
      <w:pPr>
        <w:keepNext w:val="0"/>
        <w:spacing w:after="160" w:before="0"/>
      </w:pPr>
      <w:r>
        <w:rPr>
          <w:rFonts w:ascii="Calibri" w:hAnsi="Calibri"/>
          <w:b w:val="0"/>
          <w:i w:val="0"/>
          <w:color w:val="1D1D1D"/>
          <w:sz w:val="21"/>
        </w:rPr>
      </w:r>
    </w:p>
    <w:p>
      <w:pPr>
        <w:keepNext w:val="0"/>
        <w:spacing w:after="120" w:before="0"/>
      </w:pPr>
      <w:r>
        <w:rPr>
          <w:rFonts w:ascii="Calibri" w:hAnsi="Calibri"/>
          <w:b/>
          <w:i w:val="0"/>
          <w:color w:val="1D1D1D"/>
          <w:sz w:val="22"/>
        </w:rPr>
        <w:t>Six routes to being eligible, for dock work and construction</w:t>
      </w:r>
    </w:p>
    <w:p>
      <w:pPr>
        <w:keepNext w:val="0"/>
        <w:spacing w:after="160" w:before="0"/>
      </w:pPr>
      <w:r>
        <w:rPr>
          <w:rFonts w:ascii="Calibri" w:hAnsi="Calibri"/>
          <w:b w:val="0"/>
          <w:i w:val="0"/>
          <w:color w:val="565656"/>
          <w:sz w:val="20"/>
        </w:rPr>
        <w:t>Rule 18(2) is written as a bar: a person shall NOT be eligible unless they possess one of the first four. Rule 18(3) then adds two more, NOTWITHSTANDING sub-rule (2), so a person who satisfies none of the four can still be eligible. Any one of the six is enough.</w:t>
      </w:r>
    </w:p>
    <w:tbl>
      <w:tblPr>
        <w:tblStyle w:val="TableGrid"/>
        <w:tblW w:type="auto" w:w="0"/>
        <w:tblLook w:firstColumn="1" w:firstRow="1" w:lastColumn="0" w:lastRow="0" w:noHBand="0" w:noVBand="1" w:val="04A0"/>
      </w:tblPr>
      <w:tblGrid>
        <w:gridCol w:w="4824"/>
        <w:gridCol w:w="4824"/>
      </w:tblGrid>
      <w:tr>
        <w:tc>
          <w:tcPr>
            <w:tcW w:type="dxa" w:w="3600"/>
          </w:tcPr>
          <w:p>
            <w:pPr>
              <w:spacing w:after="40"/>
              <w:shd w:val="clear" w:fill="E8F4FC"/>
            </w:pPr>
            <w:r/>
            <w:r>
              <w:rPr>
                <w:rFonts w:ascii="Calibri" w:hAnsi="Calibri"/>
                <w:b/>
                <w:color w:val="0069A4"/>
                <w:sz w:val="18"/>
              </w:rPr>
              <w:t>The qualification</w:t>
            </w:r>
          </w:p>
        </w:tc>
        <w:tc>
          <w:tcPr>
            <w:tcW w:type="dxa" w:w="5760"/>
          </w:tcPr>
          <w:p>
            <w:pPr>
              <w:spacing w:after="40"/>
              <w:shd w:val="clear" w:fill="E8F4FC"/>
            </w:pPr>
            <w:r/>
            <w:r>
              <w:rPr>
                <w:rFonts w:ascii="Calibri" w:hAnsi="Calibri"/>
                <w:b/>
                <w:color w:val="0069A4"/>
                <w:sz w:val="18"/>
              </w:rPr>
              <w:t>The experience it must come with</w:t>
            </w:r>
          </w:p>
        </w:tc>
      </w:tr>
      <w:tr>
        <w:tc>
          <w:tcPr>
            <w:tcW w:type="dxa" w:w="3600"/>
          </w:tcPr>
          <w:p>
            <w:pPr>
              <w:spacing w:after="40"/>
            </w:pPr>
            <w:r/>
            <w:r>
              <w:rPr>
                <w:rFonts w:ascii="Calibri" w:hAnsi="Calibri"/>
                <w:color w:val="565656"/>
                <w:sz w:val="18"/>
              </w:rPr>
              <w:t>A degree in any branch of engineering or technology</w:t>
            </w:r>
          </w:p>
        </w:tc>
        <w:tc>
          <w:tcPr>
            <w:tcW w:type="dxa" w:w="5760"/>
          </w:tcPr>
          <w:p>
            <w:pPr>
              <w:spacing w:after="40"/>
            </w:pPr>
            <w:r/>
            <w:r>
              <w:rPr>
                <w:rFonts w:ascii="Calibri" w:hAnsi="Calibri"/>
                <w:color w:val="565656"/>
                <w:sz w:val="18"/>
              </w:rPr>
              <w:t>With practical experience in a supervisory capacity of not less than TWO years.</w:t>
            </w:r>
          </w:p>
        </w:tc>
      </w:tr>
      <w:tr>
        <w:tc>
          <w:tcPr>
            <w:tcW w:type="dxa" w:w="3600"/>
          </w:tcPr>
          <w:p>
            <w:pPr>
              <w:spacing w:after="40"/>
            </w:pPr>
            <w:r/>
            <w:r>
              <w:rPr>
                <w:rFonts w:ascii="Calibri" w:hAnsi="Calibri"/>
                <w:color w:val="565656"/>
                <w:sz w:val="18"/>
              </w:rPr>
              <w:t>A degree in physics or chemistry</w:t>
            </w:r>
          </w:p>
        </w:tc>
        <w:tc>
          <w:tcPr>
            <w:tcW w:type="dxa" w:w="5760"/>
          </w:tcPr>
          <w:p>
            <w:pPr>
              <w:spacing w:after="40"/>
            </w:pPr>
            <w:r/>
            <w:r>
              <w:rPr>
                <w:rFonts w:ascii="Calibri" w:hAnsi="Calibri"/>
                <w:color w:val="565656"/>
                <w:sz w:val="18"/>
              </w:rPr>
              <w:t>With practical experience in a supervisory capacity of not less than FIVE years.</w:t>
            </w:r>
          </w:p>
        </w:tc>
      </w:tr>
      <w:tr>
        <w:tc>
          <w:tcPr>
            <w:tcW w:type="dxa" w:w="3600"/>
          </w:tcPr>
          <w:p>
            <w:pPr>
              <w:spacing w:after="40"/>
            </w:pPr>
            <w:r/>
            <w:r>
              <w:rPr>
                <w:rFonts w:ascii="Calibri" w:hAnsi="Calibri"/>
                <w:color w:val="565656"/>
                <w:sz w:val="18"/>
              </w:rPr>
              <w:t>A diploma in any branch of engineering or technology</w:t>
            </w:r>
          </w:p>
        </w:tc>
        <w:tc>
          <w:tcPr>
            <w:tcW w:type="dxa" w:w="5760"/>
          </w:tcPr>
          <w:p>
            <w:pPr>
              <w:spacing w:after="40"/>
            </w:pPr>
            <w:r/>
            <w:r>
              <w:rPr>
                <w:rFonts w:ascii="Calibri" w:hAnsi="Calibri"/>
                <w:color w:val="565656"/>
                <w:sz w:val="18"/>
              </w:rPr>
              <w:t>With practical experience in a supervisory capacity of not less than FIVE years.</w:t>
            </w:r>
          </w:p>
        </w:tc>
      </w:tr>
      <w:tr>
        <w:tc>
          <w:tcPr>
            <w:tcW w:type="dxa" w:w="3600"/>
          </w:tcPr>
          <w:p>
            <w:pPr>
              <w:spacing w:after="40"/>
            </w:pPr>
            <w:r/>
            <w:r>
              <w:rPr>
                <w:rFonts w:ascii="Calibri" w:hAnsi="Calibri"/>
                <w:color w:val="565656"/>
                <w:sz w:val="18"/>
              </w:rPr>
              <w:t>A degree or diploma in industrial safety</w:t>
            </w:r>
          </w:p>
        </w:tc>
        <w:tc>
          <w:tcPr>
            <w:tcW w:type="dxa" w:w="5760"/>
          </w:tcPr>
          <w:p>
            <w:pPr>
              <w:spacing w:after="40"/>
            </w:pPr>
            <w:r/>
            <w:r>
              <w:rPr>
                <w:rFonts w:ascii="Calibri" w:hAnsi="Calibri"/>
                <w:color w:val="565656"/>
                <w:sz w:val="18"/>
              </w:rPr>
              <w:t>Recognised by the Central or a State Government, or a post-graduate diploma in industrial safety from the Central Labour Institute or a Regional Labour Institute under the Directorate General of Occupational Safety and Health.</w:t>
            </w:r>
          </w:p>
        </w:tc>
      </w:tr>
      <w:tr>
        <w:tc>
          <w:tcPr>
            <w:tcW w:type="dxa" w:w="3600"/>
          </w:tcPr>
          <w:p>
            <w:pPr>
              <w:spacing w:after="40"/>
            </w:pPr>
            <w:r/>
            <w:r>
              <w:rPr>
                <w:rFonts w:ascii="Calibri" w:hAnsi="Calibri"/>
                <w:color w:val="565656"/>
                <w:sz w:val="18"/>
              </w:rPr>
              <w:t>A degree or diploma in engineering or technology, with five years in government</w:t>
            </w:r>
          </w:p>
        </w:tc>
        <w:tc>
          <w:tcPr>
            <w:tcW w:type="dxa" w:w="5760"/>
          </w:tcPr>
          <w:p>
            <w:pPr>
              <w:spacing w:after="40"/>
            </w:pPr>
            <w:r/>
            <w:r>
              <w:rPr>
                <w:rFonts w:ascii="Calibri" w:hAnsi="Calibri"/>
                <w:color w:val="565656"/>
                <w:sz w:val="18"/>
              </w:rPr>
              <w:t>Rule 18(3)(a), which applies NOTWITHSTANDING the four above. Not less than five years in a department of the Central or a State Government dealing with the administration of legislation on factories, building or other construction work or dock work.</w:t>
            </w:r>
          </w:p>
        </w:tc>
      </w:tr>
      <w:tr>
        <w:tc>
          <w:tcPr>
            <w:tcW w:type="dxa" w:w="3600"/>
          </w:tcPr>
          <w:p>
            <w:pPr>
              <w:spacing w:after="40"/>
            </w:pPr>
            <w:r/>
            <w:r>
              <w:rPr>
                <w:rFonts w:ascii="Calibri" w:hAnsi="Calibri"/>
                <w:color w:val="565656"/>
                <w:sz w:val="18"/>
              </w:rPr>
              <w:t>A degree or diploma in engineering or technology, with five years in accident prevention</w:t>
            </w:r>
          </w:p>
        </w:tc>
        <w:tc>
          <w:tcPr>
            <w:tcW w:type="dxa" w:w="5760"/>
          </w:tcPr>
          <w:p>
            <w:pPr>
              <w:spacing w:after="40"/>
            </w:pPr>
            <w:r/>
            <w:r>
              <w:rPr>
                <w:rFonts w:ascii="Calibri" w:hAnsi="Calibri"/>
                <w:color w:val="565656"/>
                <w:sz w:val="18"/>
              </w:rPr>
              <w:t>Rule 18(3)(b), on the same footing. Not less than five years in training, education, consultancy or research in the field of accident prevention, in industry or in any institution.</w:t>
            </w:r>
          </w:p>
        </w:tc>
      </w:tr>
    </w:tbl>
    <w:p>
      <w:pPr>
        <w:keepNext w:val="0"/>
        <w:spacing w:after="160" w:before="0"/>
      </w:pPr>
      <w:r>
        <w:rPr>
          <w:rFonts w:ascii="Calibri" w:hAnsi="Calibri"/>
          <w:b w:val="0"/>
          <w:i w:val="0"/>
          <w:color w:val="1D1D1D"/>
          <w:sz w:val="21"/>
        </w:rPr>
      </w:r>
    </w:p>
    <w:p>
      <w:pPr>
        <w:keepNext w:val="0"/>
        <w:spacing w:after="200" w:before="0"/>
        <w:ind w:left="173"/>
        <w:shd w:val="clear" w:fill="FFF6E5"/>
      </w:pPr>
      <w:r>
        <w:rPr>
          <w:rFonts w:ascii="Calibri" w:hAnsi="Calibri"/>
          <w:b w:val="0"/>
          <w:i w:val="0"/>
          <w:color w:val="1D1D1D"/>
          <w:sz w:val="20"/>
        </w:rPr>
        <w:t>Read the first words of rule 18(2): a person shall not be eligible for appointment as a safety officer RELATING TO DOCK WORK OR BUILDING OR OTHER CONSTRUCTION WORK. These six routes are that, and only that. A mine is governed by rule 20(2) below and shares none of them. A factory has nothing prescribed centrally, so for a factory these are a model and your State's rules are the answer.</w:t>
      </w:r>
    </w:p>
    <w:p>
      <w:pPr>
        <w:keepNext w:val="0"/>
        <w:spacing w:after="120" w:before="0"/>
      </w:pPr>
      <w:r>
        <w:rPr>
          <w:rFonts w:ascii="Calibri" w:hAnsi="Calibri"/>
          <w:b/>
          <w:i w:val="0"/>
          <w:color w:val="1D1D1D"/>
          <w:sz w:val="22"/>
        </w:rPr>
        <w:t>A mine is different: rule 20(2)</w:t>
      </w:r>
    </w:p>
    <w:p>
      <w:pPr>
        <w:keepNext w:val="0"/>
        <w:spacing w:after="160" w:before="0"/>
      </w:pPr>
      <w:r>
        <w:rPr>
          <w:rFonts w:ascii="Calibri" w:hAnsi="Calibri"/>
          <w:b w:val="0"/>
          <w:i w:val="0"/>
          <w:color w:val="565656"/>
          <w:sz w:val="20"/>
        </w:rPr>
        <w:t>Nothing in the four routes above qualifies anyone for a mine. Rule 20(2) asks for a Certificate of Competency granted by the Directorate General of Mines Safety, and which one depends on the class of mine. Mines are central sphere under section 2, so this is the one case where the Central Rules certainly bind you.</w:t>
      </w:r>
    </w:p>
    <w:tbl>
      <w:tblPr>
        <w:tblStyle w:val="TableGrid"/>
        <w:tblW w:type="auto" w:w="0"/>
        <w:tblLook w:firstColumn="1" w:firstRow="1" w:lastColumn="0" w:lastRow="0" w:noHBand="0" w:noVBand="1" w:val="04A0"/>
      </w:tblPr>
      <w:tblGrid>
        <w:gridCol w:w="4824"/>
        <w:gridCol w:w="4824"/>
      </w:tblGrid>
      <w:tr>
        <w:tc>
          <w:tcPr>
            <w:tcW w:type="dxa" w:w="3024"/>
          </w:tcPr>
          <w:p>
            <w:pPr>
              <w:spacing w:after="40"/>
              <w:shd w:val="clear" w:fill="E8F4FC"/>
            </w:pPr>
            <w:r/>
            <w:r>
              <w:rPr>
                <w:rFonts w:ascii="Calibri" w:hAnsi="Calibri"/>
                <w:b/>
                <w:color w:val="0069A4"/>
                <w:sz w:val="18"/>
              </w:rPr>
              <w:t>The mine</w:t>
            </w:r>
          </w:p>
        </w:tc>
        <w:tc>
          <w:tcPr>
            <w:tcW w:type="dxa" w:w="6336"/>
          </w:tcPr>
          <w:p>
            <w:pPr>
              <w:spacing w:after="40"/>
              <w:shd w:val="clear" w:fill="E8F4FC"/>
            </w:pPr>
            <w:r/>
            <w:r>
              <w:rPr>
                <w:rFonts w:ascii="Calibri" w:hAnsi="Calibri"/>
                <w:b/>
                <w:color w:val="0069A4"/>
                <w:sz w:val="18"/>
              </w:rPr>
              <w:t>What the safety officer must hold</w:t>
            </w:r>
          </w:p>
        </w:tc>
      </w:tr>
      <w:tr>
        <w:tc>
          <w:tcPr>
            <w:tcW w:type="dxa" w:w="3024"/>
          </w:tcPr>
          <w:p>
            <w:pPr>
              <w:spacing w:after="40"/>
            </w:pPr>
            <w:r/>
            <w:r>
              <w:rPr>
                <w:rFonts w:ascii="Calibri" w:hAnsi="Calibri"/>
                <w:color w:val="565656"/>
                <w:sz w:val="18"/>
              </w:rPr>
              <w:t>Coal mine, belowground</w:t>
            </w:r>
          </w:p>
        </w:tc>
        <w:tc>
          <w:tcPr>
            <w:tcW w:type="dxa" w:w="6336"/>
          </w:tcPr>
          <w:p>
            <w:pPr>
              <w:spacing w:after="40"/>
            </w:pPr>
            <w:r/>
            <w:r>
              <w:rPr>
                <w:rFonts w:ascii="Calibri" w:hAnsi="Calibri"/>
                <w:color w:val="565656"/>
                <w:sz w:val="18"/>
              </w:rPr>
              <w:t>First Class Manager's Certificate of Competency (Coal), granted by the Directorate General of Mines Safety.</w:t>
            </w:r>
          </w:p>
        </w:tc>
      </w:tr>
      <w:tr>
        <w:tc>
          <w:tcPr>
            <w:tcW w:type="dxa" w:w="3024"/>
          </w:tcPr>
          <w:p>
            <w:pPr>
              <w:spacing w:after="40"/>
            </w:pPr>
            <w:r/>
            <w:r>
              <w:rPr>
                <w:rFonts w:ascii="Calibri" w:hAnsi="Calibri"/>
                <w:color w:val="565656"/>
                <w:sz w:val="18"/>
              </w:rPr>
              <w:t>Coal mine, opencast</w:t>
            </w:r>
          </w:p>
        </w:tc>
        <w:tc>
          <w:tcPr>
            <w:tcW w:type="dxa" w:w="6336"/>
          </w:tcPr>
          <w:p>
            <w:pPr>
              <w:spacing w:after="40"/>
            </w:pPr>
            <w:r/>
            <w:r>
              <w:rPr>
                <w:rFonts w:ascii="Calibri" w:hAnsi="Calibri"/>
                <w:color w:val="565656"/>
                <w:sz w:val="18"/>
              </w:rPr>
              <w:t>The same certificate, or one restricted to mines having opencast workings only.</w:t>
            </w:r>
          </w:p>
        </w:tc>
      </w:tr>
      <w:tr>
        <w:tc>
          <w:tcPr>
            <w:tcW w:type="dxa" w:w="3024"/>
          </w:tcPr>
          <w:p>
            <w:pPr>
              <w:spacing w:after="40"/>
            </w:pPr>
            <w:r/>
            <w:r>
              <w:rPr>
                <w:rFonts w:ascii="Calibri" w:hAnsi="Calibri"/>
                <w:color w:val="565656"/>
                <w:sz w:val="18"/>
              </w:rPr>
              <w:t>Metalliferous mine, belowground</w:t>
            </w:r>
          </w:p>
        </w:tc>
        <w:tc>
          <w:tcPr>
            <w:tcW w:type="dxa" w:w="6336"/>
          </w:tcPr>
          <w:p>
            <w:pPr>
              <w:spacing w:after="40"/>
            </w:pPr>
            <w:r/>
            <w:r>
              <w:rPr>
                <w:rFonts w:ascii="Calibri" w:hAnsi="Calibri"/>
                <w:color w:val="565656"/>
                <w:sz w:val="18"/>
              </w:rPr>
              <w:t>First Class Manager's Certificate of Competency (Metal), granted by the Directorate General of Mines Safety.</w:t>
            </w:r>
          </w:p>
        </w:tc>
      </w:tr>
      <w:tr>
        <w:tc>
          <w:tcPr>
            <w:tcW w:type="dxa" w:w="3024"/>
          </w:tcPr>
          <w:p>
            <w:pPr>
              <w:spacing w:after="40"/>
            </w:pPr>
            <w:r/>
            <w:r>
              <w:rPr>
                <w:rFonts w:ascii="Calibri" w:hAnsi="Calibri"/>
                <w:color w:val="565656"/>
                <w:sz w:val="18"/>
              </w:rPr>
              <w:t>Metalliferous mine, opencast</w:t>
            </w:r>
          </w:p>
        </w:tc>
        <w:tc>
          <w:tcPr>
            <w:tcW w:type="dxa" w:w="6336"/>
          </w:tcPr>
          <w:p>
            <w:pPr>
              <w:spacing w:after="40"/>
            </w:pPr>
            <w:r/>
            <w:r>
              <w:rPr>
                <w:rFonts w:ascii="Calibri" w:hAnsi="Calibri"/>
                <w:color w:val="565656"/>
                <w:sz w:val="18"/>
              </w:rPr>
              <w:t>A Manager's Certificate of Competency (Metal), or one restricted to mines having opencast workings only.</w:t>
            </w:r>
          </w:p>
        </w:tc>
      </w:tr>
      <w:tr>
        <w:tc>
          <w:tcPr>
            <w:tcW w:type="dxa" w:w="3024"/>
          </w:tcPr>
          <w:p>
            <w:pPr>
              <w:spacing w:after="40"/>
            </w:pPr>
            <w:r/>
            <w:r>
              <w:rPr>
                <w:rFonts w:ascii="Calibri" w:hAnsi="Calibri"/>
                <w:color w:val="565656"/>
                <w:sz w:val="18"/>
              </w:rPr>
              <w:t>Where more than one officer is appointed</w:t>
            </w:r>
          </w:p>
        </w:tc>
        <w:tc>
          <w:tcPr>
            <w:tcW w:type="dxa" w:w="6336"/>
          </w:tcPr>
          <w:p>
            <w:pPr>
              <w:spacing w:after="40"/>
            </w:pPr>
            <w:r/>
            <w:r>
              <w:rPr>
                <w:rFonts w:ascii="Calibri" w:hAnsi="Calibri"/>
                <w:color w:val="565656"/>
                <w:sz w:val="18"/>
              </w:rPr>
              <w:t>In a coal or metalliferous mine, a safety officer with a degree in mechanical engineering may also be appointed, reporting to the safety officer from mining engineering.</w:t>
            </w:r>
          </w:p>
        </w:tc>
      </w:tr>
      <w:tr>
        <w:tc>
          <w:tcPr>
            <w:tcW w:type="dxa" w:w="3024"/>
          </w:tcPr>
          <w:p>
            <w:pPr>
              <w:spacing w:after="40"/>
            </w:pPr>
            <w:r/>
            <w:r>
              <w:rPr>
                <w:rFonts w:ascii="Calibri" w:hAnsi="Calibri"/>
                <w:color w:val="565656"/>
                <w:sz w:val="18"/>
              </w:rPr>
              <w:t>Oil mine</w:t>
            </w:r>
          </w:p>
        </w:tc>
        <w:tc>
          <w:tcPr>
            <w:tcW w:type="dxa" w:w="6336"/>
          </w:tcPr>
          <w:p>
            <w:pPr>
              <w:spacing w:after="40"/>
            </w:pPr>
            <w:r/>
            <w:r>
              <w:rPr>
                <w:rFonts w:ascii="Calibri" w:hAnsi="Calibri"/>
                <w:color w:val="565656"/>
                <w:sz w:val="18"/>
              </w:rPr>
              <w:t>A degree in engineering, or in industrial safety from an institution recognised by the Central or a State Government, or a post-graduate diploma in industrial safety from the Central Labour Institute or a Regional Labour Institute under the Directorate General of Occupational Safety and Health, with not less than five years managing or supervising operations in oil mines.</w:t>
            </w:r>
          </w:p>
        </w:tc>
      </w:tr>
    </w:tbl>
    <w:p>
      <w:pPr>
        <w:keepNext w:val="0"/>
        <w:spacing w:after="160" w:before="0"/>
      </w:pPr>
      <w:r>
        <w:rPr>
          <w:rFonts w:ascii="Calibri" w:hAnsi="Calibri"/>
          <w:b w:val="0"/>
          <w:i w:val="0"/>
          <w:color w:val="1D1D1D"/>
          <w:sz w:val="21"/>
        </w:rPr>
      </w:r>
    </w:p>
    <w:p>
      <w:pPr>
        <w:spacing w:after="120"/>
        <w:ind w:left="288"/>
      </w:pPr>
      <w:r>
        <w:rPr>
          <w:rFonts w:ascii="Calibri" w:hAnsi="Calibri"/>
          <w:b/>
          <w:color w:val="0069A4"/>
          <w:sz w:val="17"/>
        </w:rPr>
        <w:t xml:space="preserve">Rests on  </w:t>
      </w:r>
      <w:r>
        <w:rPr>
          <w:rFonts w:ascii="Calibri" w:hAnsi="Calibri"/>
          <w:i/>
          <w:color w:val="565656"/>
          <w:sz w:val="17"/>
        </w:rPr>
        <w:t>OSH (Central) Rules, 2026, rules 18(1), 18(2), 18(3), 20(1) and 20(2)</w:t>
      </w:r>
    </w:p>
    <w:p>
      <w:r>
        <w:br w:type="page"/>
      </w:r>
    </w:p>
    <w:p>
      <w:pPr>
        <w:pStyle w:val="Heading1"/>
        <w:keepNext/>
        <w:spacing w:after="200" w:before="80"/>
        <w:ind w:left="115"/>
        <w:shd w:val="clear" w:fill="008CDB"/>
      </w:pPr>
      <w:r>
        <w:rPr>
          <w:rFonts w:ascii="Calibri" w:hAnsi="Calibri"/>
          <w:b/>
          <w:color w:val="FFFFFF"/>
          <w:sz w:val="22"/>
        </w:rPr>
        <w:t>4  ·  THE SAFETY COMMITTEE, AND ITS TWO CLOCKS</w:t>
      </w:r>
    </w:p>
    <w:p>
      <w:pPr>
        <w:keepNext w:val="0"/>
        <w:spacing w:after="200" w:before="0"/>
      </w:pPr>
      <w:r>
        <w:rPr>
          <w:rFonts w:ascii="Calibri" w:hAnsi="Calibri"/>
          <w:b w:val="0"/>
          <w:i w:val="0"/>
          <w:color w:val="1D1D1D"/>
          <w:sz w:val="21"/>
        </w:rPr>
        <w:t>One clock runs on the committee, which must meet at least quarterly. The other runs on you: fifteen days from receiving a recommendation to act on it.</w:t>
      </w:r>
    </w:p>
    <w:tbl>
      <w:tblPr>
        <w:tblStyle w:val="TableGrid"/>
        <w:tblW w:type="auto" w:w="0"/>
        <w:tblLook w:firstColumn="1" w:firstRow="1" w:lastColumn="0" w:lastRow="0" w:noHBand="0" w:noVBand="1" w:val="04A0"/>
      </w:tblPr>
      <w:tblGrid>
        <w:gridCol w:w="3216"/>
        <w:gridCol w:w="3216"/>
        <w:gridCol w:w="3216"/>
      </w:tblGrid>
      <w:tr>
        <w:tc>
          <w:tcPr>
            <w:tcW w:type="dxa" w:w="2304"/>
          </w:tcPr>
          <w:p>
            <w:pPr>
              <w:spacing w:after="40"/>
              <w:shd w:val="clear" w:fill="E8F4FC"/>
            </w:pPr>
            <w:r/>
            <w:r>
              <w:rPr>
                <w:rFonts w:ascii="Calibri" w:hAnsi="Calibri"/>
                <w:b/>
                <w:color w:val="0069A4"/>
                <w:sz w:val="18"/>
              </w:rPr>
              <w:t>Question</w:t>
            </w:r>
          </w:p>
        </w:tc>
        <w:tc>
          <w:tcPr>
            <w:tcW w:type="dxa" w:w="5184"/>
          </w:tcPr>
          <w:p>
            <w:pPr>
              <w:spacing w:after="40"/>
              <w:shd w:val="clear" w:fill="E8F4FC"/>
            </w:pPr>
            <w:r/>
            <w:r>
              <w:rPr>
                <w:rFonts w:ascii="Calibri" w:hAnsi="Calibri"/>
                <w:b/>
                <w:color w:val="0069A4"/>
                <w:sz w:val="18"/>
              </w:rPr>
              <w:t>The answer</w:t>
            </w:r>
          </w:p>
        </w:tc>
        <w:tc>
          <w:tcPr>
            <w:tcW w:type="dxa" w:w="2448"/>
          </w:tcPr>
          <w:p>
            <w:pPr>
              <w:spacing w:after="40"/>
              <w:shd w:val="clear" w:fill="E8F4FC"/>
            </w:pPr>
            <w:r/>
            <w:r>
              <w:rPr>
                <w:rFonts w:ascii="Calibri" w:hAnsi="Calibri"/>
                <w:b/>
                <w:color w:val="0069A4"/>
                <w:sz w:val="18"/>
              </w:rPr>
              <w:t>Provision</w:t>
            </w:r>
          </w:p>
        </w:tc>
      </w:tr>
      <w:tr>
        <w:tc>
          <w:tcPr>
            <w:tcW w:type="dxa" w:w="2304"/>
          </w:tcPr>
          <w:p>
            <w:pPr>
              <w:spacing w:after="40"/>
            </w:pPr>
            <w:r/>
            <w:r>
              <w:rPr>
                <w:rFonts w:ascii="Calibri" w:hAnsi="Calibri"/>
                <w:color w:val="565656"/>
                <w:sz w:val="18"/>
              </w:rPr>
              <w:t>When it is owed</w:t>
            </w:r>
          </w:p>
        </w:tc>
        <w:tc>
          <w:tcPr>
            <w:tcW w:type="dxa" w:w="5184"/>
          </w:tcPr>
          <w:p>
            <w:pPr>
              <w:spacing w:after="40"/>
            </w:pPr>
            <w:r/>
            <w:r>
              <w:rPr>
                <w:rFonts w:ascii="Calibri" w:hAnsi="Calibri"/>
                <w:color w:val="565656"/>
                <w:sz w:val="18"/>
              </w:rPr>
              <w:t>Every establishment employing five hundred or more workers, where the Central Government is the appropriate Government. The Central Government may specify varying thresholds for different classes by general or special order.</w:t>
            </w:r>
          </w:p>
        </w:tc>
        <w:tc>
          <w:tcPr>
            <w:tcW w:type="dxa" w:w="2448"/>
          </w:tcPr>
          <w:p>
            <w:pPr>
              <w:spacing w:after="40"/>
            </w:pPr>
            <w:r/>
            <w:r>
              <w:rPr>
                <w:rFonts w:ascii="Calibri" w:hAnsi="Calibri"/>
                <w:color w:val="565656"/>
                <w:sz w:val="18"/>
              </w:rPr>
              <w:t>rule 14(1) and 14(2)</w:t>
            </w:r>
          </w:p>
        </w:tc>
      </w:tr>
      <w:tr>
        <w:tc>
          <w:tcPr>
            <w:tcW w:type="dxa" w:w="2304"/>
          </w:tcPr>
          <w:p>
            <w:pPr>
              <w:spacing w:after="40"/>
            </w:pPr>
            <w:r/>
            <w:r>
              <w:rPr>
                <w:rFonts w:ascii="Calibri" w:hAnsi="Calibri"/>
                <w:color w:val="565656"/>
                <w:sz w:val="18"/>
              </w:rPr>
              <w:t>Size</w:t>
            </w:r>
          </w:p>
        </w:tc>
        <w:tc>
          <w:tcPr>
            <w:tcW w:type="dxa" w:w="5184"/>
          </w:tcPr>
          <w:p>
            <w:pPr>
              <w:spacing w:after="40"/>
            </w:pPr>
            <w:r/>
            <w:r>
              <w:rPr>
                <w:rFonts w:ascii="Calibri" w:hAnsi="Calibri"/>
                <w:color w:val="565656"/>
                <w:sz w:val="18"/>
              </w:rPr>
              <w:t>Equal numbers representing the employer and the workers, not exceeding twenty in all. Section 22(1) itself sets a floor rather than equality: the worker representatives shall not be LESS than the employer's.</w:t>
            </w:r>
          </w:p>
        </w:tc>
        <w:tc>
          <w:tcPr>
            <w:tcW w:type="dxa" w:w="2448"/>
          </w:tcPr>
          <w:p>
            <w:pPr>
              <w:spacing w:after="40"/>
            </w:pPr>
            <w:r/>
            <w:r>
              <w:rPr>
                <w:rFonts w:ascii="Calibri" w:hAnsi="Calibri"/>
                <w:color w:val="565656"/>
                <w:sz w:val="18"/>
              </w:rPr>
              <w:t>rule 15(2) with s.22(1)</w:t>
            </w:r>
          </w:p>
        </w:tc>
      </w:tr>
      <w:tr>
        <w:tc>
          <w:tcPr>
            <w:tcW w:type="dxa" w:w="2304"/>
          </w:tcPr>
          <w:p>
            <w:pPr>
              <w:spacing w:after="40"/>
            </w:pPr>
            <w:r/>
            <w:r>
              <w:rPr>
                <w:rFonts w:ascii="Calibri" w:hAnsi="Calibri"/>
                <w:color w:val="565656"/>
                <w:sz w:val="18"/>
              </w:rPr>
              <w:t>Who chairs it</w:t>
            </w:r>
          </w:p>
        </w:tc>
        <w:tc>
          <w:tcPr>
            <w:tcW w:type="dxa" w:w="5184"/>
          </w:tcPr>
          <w:p>
            <w:pPr>
              <w:spacing w:after="40"/>
            </w:pPr>
            <w:r/>
            <w:r>
              <w:rPr>
                <w:rFonts w:ascii="Calibri" w:hAnsi="Calibri"/>
                <w:color w:val="565656"/>
                <w:sz w:val="18"/>
              </w:rPr>
              <w:t>A senior official who by their position can contribute effectively. Not the safety officer.</w:t>
            </w:r>
          </w:p>
        </w:tc>
        <w:tc>
          <w:tcPr>
            <w:tcW w:type="dxa" w:w="2448"/>
          </w:tcPr>
          <w:p>
            <w:pPr>
              <w:spacing w:after="40"/>
            </w:pPr>
            <w:r/>
            <w:r>
              <w:rPr>
                <w:rFonts w:ascii="Calibri" w:hAnsi="Calibri"/>
                <w:color w:val="565656"/>
                <w:sz w:val="18"/>
              </w:rPr>
              <w:t>rule 15(1)(i)</w:t>
            </w:r>
          </w:p>
        </w:tc>
      </w:tr>
      <w:tr>
        <w:tc>
          <w:tcPr>
            <w:tcW w:type="dxa" w:w="2304"/>
          </w:tcPr>
          <w:p>
            <w:pPr>
              <w:spacing w:after="40"/>
            </w:pPr>
            <w:r/>
            <w:r>
              <w:rPr>
                <w:rFonts w:ascii="Calibri" w:hAnsi="Calibri"/>
                <w:color w:val="565656"/>
                <w:sz w:val="18"/>
              </w:rPr>
              <w:t>Who is secretary</w:t>
            </w:r>
          </w:p>
        </w:tc>
        <w:tc>
          <w:tcPr>
            <w:tcW w:type="dxa" w:w="5184"/>
          </w:tcPr>
          <w:p>
            <w:pPr>
              <w:spacing w:after="40"/>
            </w:pPr>
            <w:r/>
            <w:r>
              <w:rPr>
                <w:rFonts w:ascii="Calibri" w:hAnsi="Calibri"/>
                <w:color w:val="565656"/>
                <w:sz w:val="18"/>
              </w:rPr>
              <w:t>The safety officer. A qualified medical practitioner sits on it too, wherever available.</w:t>
            </w:r>
          </w:p>
        </w:tc>
        <w:tc>
          <w:tcPr>
            <w:tcW w:type="dxa" w:w="2448"/>
          </w:tcPr>
          <w:p>
            <w:pPr>
              <w:spacing w:after="40"/>
            </w:pPr>
            <w:r/>
            <w:r>
              <w:rPr>
                <w:rFonts w:ascii="Calibri" w:hAnsi="Calibri"/>
                <w:color w:val="565656"/>
                <w:sz w:val="18"/>
              </w:rPr>
              <w:t>rule 15(1)(ii)</w:t>
            </w:r>
          </w:p>
        </w:tc>
      </w:tr>
      <w:tr>
        <w:tc>
          <w:tcPr>
            <w:tcW w:type="dxa" w:w="2304"/>
          </w:tcPr>
          <w:p>
            <w:pPr>
              <w:spacing w:after="40"/>
            </w:pPr>
            <w:r/>
            <w:r>
              <w:rPr>
                <w:rFonts w:ascii="Calibri" w:hAnsi="Calibri"/>
                <w:color w:val="565656"/>
                <w:sz w:val="18"/>
              </w:rPr>
              <w:t>Who else from management</w:t>
            </w:r>
          </w:p>
        </w:tc>
        <w:tc>
          <w:tcPr>
            <w:tcW w:type="dxa" w:w="5184"/>
          </w:tcPr>
          <w:p>
            <w:pPr>
              <w:spacing w:after="40"/>
            </w:pPr>
            <w:r/>
            <w:r>
              <w:rPr>
                <w:rFonts w:ascii="Calibri" w:hAnsi="Calibri"/>
                <w:color w:val="565656"/>
                <w:sz w:val="18"/>
              </w:rPr>
              <w:t>One representative each from the production, maintenance and purchase departments.</w:t>
            </w:r>
          </w:p>
        </w:tc>
        <w:tc>
          <w:tcPr>
            <w:tcW w:type="dxa" w:w="2448"/>
          </w:tcPr>
          <w:p>
            <w:pPr>
              <w:spacing w:after="40"/>
            </w:pPr>
            <w:r/>
            <w:r>
              <w:rPr>
                <w:rFonts w:ascii="Calibri" w:hAnsi="Calibri"/>
                <w:color w:val="565656"/>
                <w:sz w:val="18"/>
              </w:rPr>
              <w:t>rule 15(1)(iii)</w:t>
            </w:r>
          </w:p>
        </w:tc>
      </w:tr>
      <w:tr>
        <w:tc>
          <w:tcPr>
            <w:tcW w:type="dxa" w:w="2304"/>
          </w:tcPr>
          <w:p>
            <w:pPr>
              <w:spacing w:after="40"/>
            </w:pPr>
            <w:r/>
            <w:r>
              <w:rPr>
                <w:rFonts w:ascii="Calibri" w:hAnsi="Calibri"/>
                <w:color w:val="565656"/>
                <w:sz w:val="18"/>
              </w:rPr>
              <w:t>Worker representatives</w:t>
            </w:r>
          </w:p>
        </w:tc>
        <w:tc>
          <w:tcPr>
            <w:tcW w:type="dxa" w:w="5184"/>
          </w:tcPr>
          <w:p>
            <w:pPr>
              <w:spacing w:after="40"/>
            </w:pPr>
            <w:r/>
            <w:r>
              <w:rPr>
                <w:rFonts w:ascii="Calibri" w:hAnsi="Calibri"/>
                <w:color w:val="565656"/>
                <w:sz w:val="18"/>
              </w:rPr>
              <w:t>Nominated by the sole negotiating union or negotiating union; where there is a negotiating council, each registered trade union on it is represented in proportion to its membership. Where there is neither, the workers choose from amongst themselves, and the employer may run that on an electronic process.</w:t>
            </w:r>
          </w:p>
        </w:tc>
        <w:tc>
          <w:tcPr>
            <w:tcW w:type="dxa" w:w="2448"/>
          </w:tcPr>
          <w:p>
            <w:pPr>
              <w:spacing w:after="40"/>
            </w:pPr>
            <w:r/>
            <w:r>
              <w:rPr>
                <w:rFonts w:ascii="Calibri" w:hAnsi="Calibri"/>
                <w:color w:val="565656"/>
                <w:sz w:val="18"/>
              </w:rPr>
              <w:t>rule 15(4)</w:t>
            </w:r>
          </w:p>
        </w:tc>
      </w:tr>
      <w:tr>
        <w:tc>
          <w:tcPr>
            <w:tcW w:type="dxa" w:w="2304"/>
          </w:tcPr>
          <w:p>
            <w:pPr>
              <w:spacing w:after="40"/>
            </w:pPr>
            <w:r/>
            <w:r>
              <w:rPr>
                <w:rFonts w:ascii="Calibri" w:hAnsi="Calibri"/>
                <w:color w:val="565656"/>
                <w:sz w:val="18"/>
              </w:rPr>
              <w:t>Women on the committee</w:t>
            </w:r>
          </w:p>
        </w:tc>
        <w:tc>
          <w:tcPr>
            <w:tcW w:type="dxa" w:w="5184"/>
          </w:tcPr>
          <w:p>
            <w:pPr>
              <w:spacing w:after="40"/>
            </w:pPr>
            <w:r/>
            <w:r>
              <w:rPr>
                <w:rFonts w:ascii="Calibri" w:hAnsi="Calibri"/>
                <w:color w:val="565656"/>
                <w:sz w:val="18"/>
              </w:rPr>
              <w:t>Where the workers choose from amongst themselves, there SHALL be adequate representation of women, and it shall not be less than the proportion of women workers to the total number of workers employed. A workforce that is a third women cannot return an all-male worker side. The proviso sits under clause (b), the choose-amongst-themselves route, so read it there.</w:t>
            </w:r>
          </w:p>
        </w:tc>
        <w:tc>
          <w:tcPr>
            <w:tcW w:type="dxa" w:w="2448"/>
          </w:tcPr>
          <w:p>
            <w:pPr>
              <w:spacing w:after="40"/>
            </w:pPr>
            <w:r/>
            <w:r>
              <w:rPr>
                <w:rFonts w:ascii="Calibri" w:hAnsi="Calibri"/>
                <w:color w:val="565656"/>
                <w:sz w:val="18"/>
              </w:rPr>
              <w:t>rule 15(4)(b), second proviso</w:t>
            </w:r>
          </w:p>
        </w:tc>
      </w:tr>
      <w:tr>
        <w:tc>
          <w:tcPr>
            <w:tcW w:type="dxa" w:w="2304"/>
          </w:tcPr>
          <w:p>
            <w:pPr>
              <w:spacing w:after="40"/>
            </w:pPr>
            <w:r/>
            <w:r>
              <w:rPr>
                <w:rFonts w:ascii="Calibri" w:hAnsi="Calibri"/>
                <w:color w:val="565656"/>
                <w:sz w:val="18"/>
              </w:rPr>
              <w:t>If choosing them is disputed</w:t>
            </w:r>
          </w:p>
        </w:tc>
        <w:tc>
          <w:tcPr>
            <w:tcW w:type="dxa" w:w="5184"/>
          </w:tcPr>
          <w:p>
            <w:pPr>
              <w:spacing w:after="40"/>
            </w:pPr>
            <w:r/>
            <w:r>
              <w:rPr>
                <w:rFonts w:ascii="Calibri" w:hAnsi="Calibri"/>
                <w:color w:val="565656"/>
                <w:sz w:val="18"/>
              </w:rPr>
              <w:t>Where there is no negotiating union or negotiating council and a dispute arises about choosing the worker representatives, the matter may be referred to the Regional Labour Commissioner (Central), who decides after hearing the parties, and whose decision is final.</w:t>
            </w:r>
          </w:p>
        </w:tc>
        <w:tc>
          <w:tcPr>
            <w:tcW w:type="dxa" w:w="2448"/>
          </w:tcPr>
          <w:p>
            <w:pPr>
              <w:spacing w:after="40"/>
            </w:pPr>
            <w:r/>
            <w:r>
              <w:rPr>
                <w:rFonts w:ascii="Calibri" w:hAnsi="Calibri"/>
                <w:color w:val="565656"/>
                <w:sz w:val="18"/>
              </w:rPr>
              <w:t>rule 15(4)(b), third proviso</w:t>
            </w:r>
          </w:p>
        </w:tc>
      </w:tr>
      <w:tr>
        <w:tc>
          <w:tcPr>
            <w:tcW w:type="dxa" w:w="2304"/>
          </w:tcPr>
          <w:p>
            <w:pPr>
              <w:spacing w:after="40"/>
            </w:pPr>
            <w:r/>
            <w:r>
              <w:rPr>
                <w:rFonts w:ascii="Calibri" w:hAnsi="Calibri"/>
                <w:color w:val="565656"/>
                <w:sz w:val="18"/>
              </w:rPr>
              <w:t>What it is for</w:t>
            </w:r>
          </w:p>
        </w:tc>
        <w:tc>
          <w:tcPr>
            <w:tcW w:type="dxa" w:w="5184"/>
          </w:tcPr>
          <w:p>
            <w:pPr>
              <w:spacing w:after="40"/>
            </w:pPr>
            <w:r/>
            <w:r>
              <w:rPr>
                <w:rFonts w:ascii="Calibri" w:hAnsi="Calibri"/>
                <w:color w:val="565656"/>
                <w:sz w:val="18"/>
              </w:rPr>
              <w:t>Seven statutory functions, from assisting on the Safety and Health Policy to reviewing the implementation of its own recommendations. Format 08 uses them as the standing agenda.</w:t>
            </w:r>
          </w:p>
        </w:tc>
        <w:tc>
          <w:tcPr>
            <w:tcW w:type="dxa" w:w="2448"/>
          </w:tcPr>
          <w:p>
            <w:pPr>
              <w:spacing w:after="40"/>
            </w:pPr>
            <w:r/>
            <w:r>
              <w:rPr>
                <w:rFonts w:ascii="Calibri" w:hAnsi="Calibri"/>
                <w:color w:val="565656"/>
                <w:sz w:val="18"/>
              </w:rPr>
              <w:t>rule 15(6)</w:t>
            </w:r>
          </w:p>
        </w:tc>
      </w:tr>
      <w:tr>
        <w:tc>
          <w:tcPr>
            <w:tcW w:type="dxa" w:w="2304"/>
          </w:tcPr>
          <w:p>
            <w:pPr>
              <w:spacing w:after="40"/>
            </w:pPr>
            <w:r/>
            <w:r>
              <w:rPr>
                <w:rFonts w:ascii="Calibri" w:hAnsi="Calibri"/>
                <w:color w:val="565656"/>
                <w:sz w:val="18"/>
              </w:rPr>
              <w:t>Minutes</w:t>
            </w:r>
          </w:p>
        </w:tc>
        <w:tc>
          <w:tcPr>
            <w:tcW w:type="dxa" w:w="5184"/>
          </w:tcPr>
          <w:p>
            <w:pPr>
              <w:spacing w:after="40"/>
            </w:pPr>
            <w:r/>
            <w:r>
              <w:rPr>
                <w:rFonts w:ascii="Calibri" w:hAnsi="Calibri"/>
                <w:color w:val="565656"/>
                <w:sz w:val="18"/>
              </w:rPr>
              <w:t>The minutes of the meeting of the Safety Committee shall be recorded. Format 08 is the layout.</w:t>
            </w:r>
          </w:p>
        </w:tc>
        <w:tc>
          <w:tcPr>
            <w:tcW w:type="dxa" w:w="2448"/>
          </w:tcPr>
          <w:p>
            <w:pPr>
              <w:spacing w:after="40"/>
            </w:pPr>
            <w:r/>
            <w:r>
              <w:rPr>
                <w:rFonts w:ascii="Calibri" w:hAnsi="Calibri"/>
                <w:color w:val="565656"/>
                <w:sz w:val="18"/>
              </w:rPr>
              <w:t>rule 15(5)</w:t>
            </w:r>
          </w:p>
        </w:tc>
      </w:tr>
      <w:tr>
        <w:tc>
          <w:tcPr>
            <w:tcW w:type="dxa" w:w="2304"/>
          </w:tcPr>
          <w:p>
            <w:pPr>
              <w:spacing w:after="40"/>
            </w:pPr>
            <w:r/>
            <w:r>
              <w:rPr>
                <w:rFonts w:ascii="Calibri" w:hAnsi="Calibri"/>
                <w:color w:val="565656"/>
                <w:sz w:val="18"/>
              </w:rPr>
              <w:t>Tenure</w:t>
            </w:r>
          </w:p>
        </w:tc>
        <w:tc>
          <w:tcPr>
            <w:tcW w:type="dxa" w:w="5184"/>
          </w:tcPr>
          <w:p>
            <w:pPr>
              <w:spacing w:after="40"/>
            </w:pPr>
            <w:r/>
            <w:r>
              <w:rPr>
                <w:rFonts w:ascii="Calibri" w:hAnsi="Calibri"/>
                <w:color w:val="565656"/>
                <w:sz w:val="18"/>
              </w:rPr>
              <w:t>Three years.</w:t>
            </w:r>
          </w:p>
        </w:tc>
        <w:tc>
          <w:tcPr>
            <w:tcW w:type="dxa" w:w="2448"/>
          </w:tcPr>
          <w:p>
            <w:pPr>
              <w:spacing w:after="40"/>
            </w:pPr>
            <w:r/>
            <w:r>
              <w:rPr>
                <w:rFonts w:ascii="Calibri" w:hAnsi="Calibri"/>
                <w:color w:val="565656"/>
                <w:sz w:val="18"/>
              </w:rPr>
              <w:t>rule 14(3)</w:t>
            </w:r>
          </w:p>
        </w:tc>
      </w:tr>
      <w:tr>
        <w:tc>
          <w:tcPr>
            <w:tcW w:type="dxa" w:w="2304"/>
          </w:tcPr>
          <w:p>
            <w:pPr>
              <w:spacing w:after="40"/>
            </w:pPr>
            <w:r/>
            <w:r>
              <w:rPr>
                <w:rFonts w:ascii="Calibri" w:hAnsi="Calibri"/>
                <w:color w:val="565656"/>
                <w:sz w:val="18"/>
              </w:rPr>
              <w:t>How often it meets</w:t>
            </w:r>
          </w:p>
        </w:tc>
        <w:tc>
          <w:tcPr>
            <w:tcW w:type="dxa" w:w="5184"/>
          </w:tcPr>
          <w:p>
            <w:pPr>
              <w:spacing w:after="40"/>
            </w:pPr>
            <w:r/>
            <w:r>
              <w:rPr>
                <w:rFonts w:ascii="Calibri" w:hAnsi="Calibri"/>
                <w:color w:val="565656"/>
                <w:sz w:val="18"/>
              </w:rPr>
              <w:t>At least once every quarter. In a mine, at least once a month.</w:t>
            </w:r>
          </w:p>
        </w:tc>
        <w:tc>
          <w:tcPr>
            <w:tcW w:type="dxa" w:w="2448"/>
          </w:tcPr>
          <w:p>
            <w:pPr>
              <w:spacing w:after="40"/>
            </w:pPr>
            <w:r/>
            <w:r>
              <w:rPr>
                <w:rFonts w:ascii="Calibri" w:hAnsi="Calibri"/>
                <w:color w:val="565656"/>
                <w:sz w:val="18"/>
              </w:rPr>
              <w:t>rule 14(3) and its proviso</w:t>
            </w:r>
          </w:p>
        </w:tc>
      </w:tr>
      <w:tr>
        <w:tc>
          <w:tcPr>
            <w:tcW w:type="dxa" w:w="2304"/>
          </w:tcPr>
          <w:p>
            <w:pPr>
              <w:spacing w:after="40"/>
            </w:pPr>
            <w:r/>
            <w:r>
              <w:rPr>
                <w:rFonts w:ascii="Calibri" w:hAnsi="Calibri"/>
                <w:color w:val="565656"/>
                <w:sz w:val="18"/>
              </w:rPr>
              <w:t>What it must be told</w:t>
            </w:r>
          </w:p>
        </w:tc>
        <w:tc>
          <w:tcPr>
            <w:tcW w:type="dxa" w:w="5184"/>
          </w:tcPr>
          <w:p>
            <w:pPr>
              <w:spacing w:after="40"/>
            </w:pPr>
            <w:r/>
            <w:r>
              <w:rPr>
                <w:rFonts w:ascii="Calibri" w:hAnsi="Calibri"/>
                <w:color w:val="565656"/>
                <w:sz w:val="18"/>
              </w:rPr>
              <w:t>Potential safety and health hazards workers may be exposed to, and data on accidents and on surveillance of the working environment and of workers' health.</w:t>
            </w:r>
          </w:p>
        </w:tc>
        <w:tc>
          <w:tcPr>
            <w:tcW w:type="dxa" w:w="2448"/>
          </w:tcPr>
          <w:p>
            <w:pPr>
              <w:spacing w:after="40"/>
            </w:pPr>
            <w:r/>
            <w:r>
              <w:rPr>
                <w:rFonts w:ascii="Calibri" w:hAnsi="Calibri"/>
                <w:color w:val="565656"/>
                <w:sz w:val="18"/>
              </w:rPr>
              <w:t>rule 14(4)</w:t>
            </w:r>
          </w:p>
        </w:tc>
      </w:tr>
      <w:tr>
        <w:tc>
          <w:tcPr>
            <w:tcW w:type="dxa" w:w="2304"/>
          </w:tcPr>
          <w:p>
            <w:pPr>
              <w:spacing w:after="40"/>
            </w:pPr>
            <w:r/>
            <w:r>
              <w:rPr>
                <w:rFonts w:ascii="Calibri" w:hAnsi="Calibri"/>
                <w:color w:val="565656"/>
                <w:sz w:val="18"/>
              </w:rPr>
              <w:t>The clock on its advice</w:t>
            </w:r>
          </w:p>
        </w:tc>
        <w:tc>
          <w:tcPr>
            <w:tcW w:type="dxa" w:w="5184"/>
          </w:tcPr>
          <w:p>
            <w:pPr>
              <w:spacing w:after="40"/>
            </w:pPr>
            <w:r/>
            <w:r>
              <w:rPr>
                <w:rFonts w:ascii="Calibri" w:hAnsi="Calibri"/>
                <w:color w:val="565656"/>
                <w:sz w:val="18"/>
              </w:rPr>
              <w:t>The employer shall take action to implement the Committee's recommendations within FIFTEEN DAYS of receiving them.</w:t>
            </w:r>
          </w:p>
        </w:tc>
        <w:tc>
          <w:tcPr>
            <w:tcW w:type="dxa" w:w="2448"/>
          </w:tcPr>
          <w:p>
            <w:pPr>
              <w:spacing w:after="40"/>
            </w:pPr>
            <w:r/>
            <w:r>
              <w:rPr>
                <w:rFonts w:ascii="Calibri" w:hAnsi="Calibri"/>
                <w:color w:val="565656"/>
                <w:sz w:val="18"/>
              </w:rPr>
              <w:t>rule 14(5)</w:t>
            </w:r>
          </w:p>
        </w:tc>
      </w:tr>
    </w:tbl>
    <w:p>
      <w:pPr>
        <w:keepNext w:val="0"/>
        <w:spacing w:after="160" w:before="0"/>
      </w:pPr>
      <w:r>
        <w:rPr>
          <w:rFonts w:ascii="Calibri" w:hAnsi="Calibri"/>
          <w:b w:val="0"/>
          <w:i w:val="0"/>
          <w:color w:val="1D1D1D"/>
          <w:sz w:val="21"/>
        </w:rPr>
      </w:r>
    </w:p>
    <w:p>
      <w:pPr>
        <w:spacing w:after="120"/>
        <w:ind w:left="288"/>
      </w:pPr>
      <w:r>
        <w:rPr>
          <w:rFonts w:ascii="Calibri" w:hAnsi="Calibri"/>
          <w:b/>
          <w:color w:val="0069A4"/>
          <w:sz w:val="17"/>
        </w:rPr>
        <w:t xml:space="preserve">Rests on  </w:t>
      </w:r>
      <w:r>
        <w:rPr>
          <w:rFonts w:ascii="Calibri" w:hAnsi="Calibri"/>
          <w:i/>
          <w:color w:val="565656"/>
          <w:sz w:val="17"/>
        </w:rPr>
        <w:t>OSH Code, 2020, s.22(1); OSH (Central) Rules, 2026, rules 14 and 15</w:t>
      </w:r>
    </w:p>
    <w:p>
      <w:r>
        <w:br w:type="page"/>
      </w:r>
    </w:p>
    <w:p>
      <w:pPr>
        <w:pStyle w:val="Heading1"/>
        <w:keepNext/>
        <w:spacing w:after="200" w:before="80"/>
        <w:ind w:left="115"/>
        <w:shd w:val="clear" w:fill="008CDB"/>
      </w:pPr>
      <w:r>
        <w:rPr>
          <w:rFonts w:ascii="Calibri" w:hAnsi="Calibri"/>
          <w:b/>
          <w:color w:val="FFFFFF"/>
          <w:sz w:val="22"/>
        </w:rPr>
        <w:t>5  ·  WHAT THIS PACK DOES NOT CLAIM</w:t>
      </w:r>
    </w:p>
    <w:p>
      <w:pPr>
        <w:keepNext w:val="0"/>
        <w:spacing w:after="80" w:before="0"/>
      </w:pPr>
      <w:r>
        <w:rPr>
          <w:rFonts w:ascii="Calibri" w:hAnsi="Calibri"/>
          <w:b/>
          <w:i w:val="0"/>
          <w:color w:val="1D1D1D"/>
          <w:sz w:val="22"/>
        </w:rPr>
        <w:t>What your State has prescribed for a factory</w:t>
      </w:r>
    </w:p>
    <w:p>
      <w:pPr>
        <w:keepNext w:val="0"/>
        <w:spacing w:after="200" w:before="0"/>
      </w:pPr>
      <w:r>
        <w:rPr>
          <w:rFonts w:ascii="Calibri" w:hAnsi="Calibri"/>
          <w:b w:val="0"/>
          <w:i w:val="0"/>
          <w:color w:val="1D1D1D"/>
          <w:sz w:val="20"/>
        </w:rPr>
        <w:t>The OSH (Central) Rules, 2026 prescribe safety officers in rule 18 for dock work and for building or other construction work, and in rule 20 for mines. Nothing in them prescribes the number, the qualifications or the duties of a FACTORY safety officer. The only place a factory appears beside a safety officer anywhere in that gazette is a declaration form that restates the section 22 thresholds. That is not an oversight: a factory is State sphere, so its State prescribes. No State rules were read for this pack, and nothing here says what any State requires.</w:t>
      </w:r>
    </w:p>
    <w:p>
      <w:pPr>
        <w:keepNext w:val="0"/>
        <w:spacing w:after="80" w:before="0"/>
      </w:pPr>
      <w:r>
        <w:rPr>
          <w:rFonts w:ascii="Calibri" w:hAnsi="Calibri"/>
          <w:b/>
          <w:i w:val="0"/>
          <w:color w:val="1D1D1D"/>
          <w:sz w:val="22"/>
        </w:rPr>
        <w:t>That the duty waits for your State</w:t>
      </w:r>
    </w:p>
    <w:p>
      <w:pPr>
        <w:keepNext w:val="0"/>
        <w:spacing w:after="200" w:before="0"/>
        <w:ind w:left="173"/>
        <w:shd w:val="clear" w:fill="FFF6E5"/>
      </w:pPr>
      <w:r>
        <w:rPr>
          <w:rFonts w:ascii="Calibri" w:hAnsi="Calibri"/>
          <w:b w:val="0"/>
          <w:i w:val="0"/>
          <w:color w:val="1D1D1D"/>
          <w:sz w:val="20"/>
        </w:rPr>
        <w:t>It does not. Section 22(2) says the employer SHALL ALSO APPOINT, and that sentence is in the Code, which binds everywhere. A State that has not yet prescribed a number has not suspended the duty; it has left you to appoint at least one and to be able to justify it. What you cannot do is treat silence as permission.</w:t>
      </w:r>
    </w:p>
    <w:p>
      <w:pPr>
        <w:keepNext w:val="0"/>
        <w:spacing w:after="80" w:before="0"/>
      </w:pPr>
      <w:r>
        <w:rPr>
          <w:rFonts w:ascii="Calibri" w:hAnsi="Calibri"/>
          <w:b/>
          <w:i w:val="0"/>
          <w:color w:val="1D1D1D"/>
          <w:sz w:val="22"/>
        </w:rPr>
        <w:t>That every mine is inside the Code</w:t>
      </w:r>
    </w:p>
    <w:p>
      <w:pPr>
        <w:keepNext w:val="0"/>
        <w:spacing w:after="200" w:before="0"/>
      </w:pPr>
      <w:r>
        <w:rPr>
          <w:rFonts w:ascii="Calibri" w:hAnsi="Calibri"/>
          <w:b w:val="0"/>
          <w:i w:val="0"/>
          <w:color w:val="1D1D1D"/>
          <w:sz w:val="20"/>
        </w:rPr>
        <w:t>Rule 108 takes the Code away from two kinds of mine, except for sections 35, 38, 40, 41 and 44. The first is a mine excavating for prospecting only, on the conditions in rule 108(1)(i). The second is a mine extracting minor minerals, the rule's own list being kankar, murram, laterite, boulder, gravel, shingle, ordinary sand, ordinary clay, building stone, slate, road metal, earth, fuller's earth, marl, chalk and limestone. Section 22 is not among the sections saved, so where rule 108 bites there is no safety officer duty under this Code at any headcount, and the hundred-worker line in section 22(2)(d) never arises. Check the provisos before relying on this: a minor mineral mine qualifies if its workings do not extend below superjacent ground, or, being opencast, it stays under six metres deep and under fifty persons on any one day and uses no explosives. And rule 108(3) lets the Central Government apply the Code to such a mine anyway, by order in writing. Separately, rule 108(2) gives you seven days to notify the Inspector-cum-Facilitator once an establishment becomes a mine.</w:t>
      </w:r>
    </w:p>
    <w:p>
      <w:pPr>
        <w:keepNext w:val="0"/>
        <w:spacing w:after="80" w:before="0"/>
      </w:pPr>
      <w:r>
        <w:rPr>
          <w:rFonts w:ascii="Calibri" w:hAnsi="Calibri"/>
          <w:b/>
          <w:i w:val="0"/>
          <w:color w:val="1D1D1D"/>
          <w:sz w:val="22"/>
        </w:rPr>
        <w:t>That the Safety Committee is optional everywhere</w:t>
      </w:r>
    </w:p>
    <w:p>
      <w:pPr>
        <w:keepNext w:val="0"/>
        <w:spacing w:after="200" w:before="0"/>
      </w:pPr>
      <w:r>
        <w:rPr>
          <w:rFonts w:ascii="Calibri" w:hAnsi="Calibri"/>
          <w:b w:val="0"/>
          <w:i w:val="0"/>
          <w:color w:val="1D1D1D"/>
          <w:sz w:val="20"/>
        </w:rPr>
        <w:t>Section 22(1) alone reads as though it is, and plenty of guidance stops there. Rule 14(1) does the requiring for the central sphere, and it is unconditional at five hundred workers. Where your State is the appropriate Government, look for its order or its rules before concluding that nothing is owed.</w:t>
      </w:r>
    </w:p>
    <w:p>
      <w:pPr>
        <w:keepNext w:val="0"/>
        <w:spacing w:after="80" w:before="0"/>
      </w:pPr>
      <w:r>
        <w:rPr>
          <w:rFonts w:ascii="Calibri" w:hAnsi="Calibri"/>
          <w:b/>
          <w:i w:val="0"/>
          <w:color w:val="1D1D1D"/>
          <w:sz w:val="22"/>
        </w:rPr>
        <w:t>That rule 14(1) is beyond argument</w:t>
      </w:r>
    </w:p>
    <w:p>
      <w:pPr>
        <w:keepNext w:val="0"/>
        <w:spacing w:after="200" w:before="0"/>
      </w:pPr>
      <w:r>
        <w:rPr>
          <w:rFonts w:ascii="Calibri" w:hAnsi="Calibri"/>
          <w:b w:val="0"/>
          <w:i w:val="0"/>
          <w:color w:val="1D1D1D"/>
          <w:sz w:val="20"/>
        </w:rPr>
        <w:t>It is how we read it, and it is how we would advise acting, but the pack should say where the argument sits. Section 22(1) is built in two halves: an ORDER of the appropriate Government requires an establishment to constitute a committee, and the manner of constituting it is PRESCRIBED, which means rules. Section 127(2)(n) matches that split exactly: it lets rules provide for the manner of constituting a safety committee and the manner and purpose of choosing the worker representatives under section 22(1), and for nothing more. Rule 14(1) does not prescribe a manner; it says every establishment employing five hundred or more workers SHALL constitute a Safety Committee, which is the requiring. Rule 14(2) then keeps the general or special order for varying that threshold. So somebody could argue rule 14(1) does by rule what the Code reserved to an order. Against that: section 127(1) is a general power to make rules for carrying out the purposes of the Code, the rules are laid before Parliament, and a rule of general application addressed to a class of establishments is in substance what a general order would say. Note also that section 127(2)(o) squarely covers the qualifications, duties and NUMBER of safety officers, so rules 18 to 21 do not raise this question at all. Practically, the asymmetry of risk settles it: constituting a committee you did not owe costs you some meetings, and not constituting one you did owe is a section 94 penalty. Constitute it.</w:t>
      </w:r>
    </w:p>
    <w:p>
      <w:pPr>
        <w:keepNext w:val="0"/>
        <w:spacing w:after="80" w:before="0"/>
      </w:pPr>
      <w:r>
        <w:rPr>
          <w:rFonts w:ascii="Calibri" w:hAnsi="Calibri"/>
          <w:b/>
          <w:i w:val="0"/>
          <w:color w:val="1D1D1D"/>
          <w:sz w:val="22"/>
        </w:rPr>
        <w:t>What it costs to be wrong</w:t>
      </w:r>
    </w:p>
    <w:p>
      <w:pPr>
        <w:keepNext w:val="0"/>
        <w:spacing w:after="160" w:before="0"/>
      </w:pPr>
      <w:r>
        <w:rPr>
          <w:rFonts w:ascii="Calibri" w:hAnsi="Calibri"/>
          <w:b w:val="0"/>
          <w:i w:val="0"/>
          <w:color w:val="1D1D1D"/>
          <w:sz w:val="20"/>
        </w:rPr>
        <w:t>Section 94 is a general penalty and it is not small. Any contravention of the Code or the rules makes the employer liable to a penalty of not less than ₹2,00,000, which may extend to ₹3,00,000, and a further ₹2,000 for each day the contravention continues after conviction. Section 22 is not carved out of it.</w:t>
      </w:r>
    </w:p>
    <w:p>
      <w:pPr>
        <w:keepNext w:val="0"/>
        <w:spacing w:after="160" w:before="0"/>
      </w:pPr>
      <w:r>
        <w:rPr>
          <w:rFonts w:ascii="Calibri" w:hAnsi="Calibri"/>
          <w:b w:val="0"/>
          <w:i w:val="0"/>
          <w:color w:val="1D1D1D"/>
          <w:sz w:val="20"/>
        </w:rPr>
        <w:t>But read two more sections before you price that risk, because the figure on its own overstates it. A section 94 penalty is not a fine a court hands down on the spot: section 111 has the appropriate Government appoint an officer, not below the rank of Under Secretary to the Government of India or equivalent in a State, to hold an enquiry, summon witnesses and documents, and only then impose such penalty as he thinks fit. An appeal lies from that order to an authority not below the rank of Deputy Secretary. And section 114 lets a section 94 penalty be COMPOUNDED, either before or after the enquiry, for fifty per cent of the maximum penalty provided. Once it is compounded the employer is discharged of the penalty and there are no further proceedings on it. Failing to comply with the compounding order then costs twenty per cent of the maximum.</w:t>
      </w:r>
    </w:p>
    <w:p>
      <w:pPr>
        <w:spacing w:after="120"/>
        <w:ind w:left="288"/>
      </w:pPr>
      <w:r>
        <w:rPr>
          <w:rFonts w:ascii="Calibri" w:hAnsi="Calibri"/>
          <w:b/>
          <w:color w:val="0069A4"/>
          <w:sz w:val="17"/>
        </w:rPr>
        <w:t xml:space="preserve">Rests on  </w:t>
      </w:r>
      <w:r>
        <w:rPr>
          <w:rFonts w:ascii="Calibri" w:hAnsi="Calibri"/>
          <w:i/>
          <w:color w:val="565656"/>
          <w:sz w:val="17"/>
        </w:rPr>
        <w:t>OSH Code, 2020, s.22, s.94, s.111 and s.114; OSH (Central) Rules, 2026, rules 14, 18 to 21 and 108</w:t>
      </w:r>
    </w:p>
    <w:p>
      <w:r>
        <w:br w:type="page"/>
      </w:r>
    </w:p>
    <w:p>
      <w:pPr>
        <w:pStyle w:val="Heading1"/>
        <w:keepNext/>
        <w:spacing w:after="200" w:before="80"/>
        <w:ind w:left="115"/>
        <w:shd w:val="clear" w:fill="008CDB"/>
      </w:pPr>
      <w:r>
        <w:rPr>
          <w:rFonts w:ascii="Calibri" w:hAnsi="Calibri"/>
          <w:b/>
          <w:color w:val="FFFFFF"/>
          <w:sz w:val="22"/>
        </w:rPr>
        <w:t>6  ·  TEN FORMATS, AND WHEN TO USE EACH</w:t>
      </w:r>
    </w:p>
    <w:tbl>
      <w:tblPr>
        <w:tblStyle w:val="TableGrid"/>
        <w:tblW w:type="auto" w:w="0"/>
        <w:tblLook w:firstColumn="1" w:firstRow="1" w:lastColumn="0" w:lastRow="0" w:noHBand="0" w:noVBand="1" w:val="04A0"/>
      </w:tblPr>
      <w:tblGrid>
        <w:gridCol w:w="3216"/>
        <w:gridCol w:w="3216"/>
        <w:gridCol w:w="3216"/>
      </w:tblGrid>
      <w:tr>
        <w:tc>
          <w:tcPr>
            <w:tcW w:type="dxa" w:w="576"/>
          </w:tcPr>
          <w:p>
            <w:pPr>
              <w:spacing w:after="40"/>
              <w:shd w:val="clear" w:fill="E8F4FC"/>
            </w:pPr>
            <w:r/>
            <w:r>
              <w:rPr>
                <w:rFonts w:ascii="Calibri" w:hAnsi="Calibri"/>
                <w:b/>
                <w:color w:val="0069A4"/>
                <w:sz w:val="18"/>
              </w:rPr>
              <w:t>#</w:t>
            </w:r>
          </w:p>
        </w:tc>
        <w:tc>
          <w:tcPr>
            <w:tcW w:type="dxa" w:w="3168"/>
          </w:tcPr>
          <w:p>
            <w:pPr>
              <w:spacing w:after="40"/>
              <w:shd w:val="clear" w:fill="E8F4FC"/>
            </w:pPr>
            <w:r/>
            <w:r>
              <w:rPr>
                <w:rFonts w:ascii="Calibri" w:hAnsi="Calibri"/>
                <w:b/>
                <w:color w:val="0069A4"/>
                <w:sz w:val="18"/>
              </w:rPr>
              <w:t>Format</w:t>
            </w:r>
          </w:p>
        </w:tc>
        <w:tc>
          <w:tcPr>
            <w:tcW w:type="dxa" w:w="6192"/>
          </w:tcPr>
          <w:p>
            <w:pPr>
              <w:spacing w:after="40"/>
              <w:shd w:val="clear" w:fill="E8F4FC"/>
            </w:pPr>
            <w:r/>
            <w:r>
              <w:rPr>
                <w:rFonts w:ascii="Calibri" w:hAnsi="Calibri"/>
                <w:b/>
                <w:color w:val="0069A4"/>
                <w:sz w:val="18"/>
              </w:rPr>
              <w:t>When you use it</w:t>
            </w:r>
          </w:p>
        </w:tc>
      </w:tr>
      <w:tr>
        <w:tc>
          <w:tcPr>
            <w:tcW w:type="dxa" w:w="576"/>
          </w:tcPr>
          <w:p>
            <w:pPr>
              <w:spacing w:after="40"/>
            </w:pPr>
            <w:r/>
            <w:r>
              <w:rPr>
                <w:rFonts w:ascii="Calibri" w:hAnsi="Calibri"/>
                <w:color w:val="565656"/>
                <w:sz w:val="18"/>
              </w:rPr>
              <w:t>01</w:t>
            </w:r>
          </w:p>
        </w:tc>
        <w:tc>
          <w:tcPr>
            <w:tcW w:type="dxa" w:w="3168"/>
          </w:tcPr>
          <w:p>
            <w:pPr>
              <w:spacing w:after="40"/>
            </w:pPr>
            <w:r/>
            <w:r>
              <w:rPr>
                <w:rFonts w:ascii="Calibri" w:hAnsi="Calibri"/>
                <w:color w:val="565656"/>
                <w:sz w:val="18"/>
              </w:rPr>
              <w:t>Threshold worksheet</w:t>
            </w:r>
          </w:p>
        </w:tc>
        <w:tc>
          <w:tcPr>
            <w:tcW w:type="dxa" w:w="6192"/>
          </w:tcPr>
          <w:p>
            <w:pPr>
              <w:spacing w:after="40"/>
            </w:pPr>
            <w:r/>
            <w:r>
              <w:rPr>
                <w:rFonts w:ascii="Calibri" w:hAnsi="Calibri"/>
                <w:color w:val="565656"/>
                <w:sz w:val="18"/>
              </w:rPr>
              <w:t>Fill this first.</w:t>
            </w:r>
          </w:p>
        </w:tc>
      </w:tr>
      <w:tr>
        <w:tc>
          <w:tcPr>
            <w:tcW w:type="dxa" w:w="576"/>
          </w:tcPr>
          <w:p>
            <w:pPr>
              <w:spacing w:after="40"/>
            </w:pPr>
            <w:r/>
            <w:r>
              <w:rPr>
                <w:rFonts w:ascii="Calibri" w:hAnsi="Calibri"/>
                <w:color w:val="565656"/>
                <w:sz w:val="18"/>
              </w:rPr>
              <w:t>02</w:t>
            </w:r>
          </w:p>
        </w:tc>
        <w:tc>
          <w:tcPr>
            <w:tcW w:type="dxa" w:w="3168"/>
          </w:tcPr>
          <w:p>
            <w:pPr>
              <w:spacing w:after="40"/>
            </w:pPr>
            <w:r/>
            <w:r>
              <w:rPr>
                <w:rFonts w:ascii="Calibri" w:hAnsi="Calibri"/>
                <w:color w:val="565656"/>
                <w:sz w:val="18"/>
              </w:rPr>
              <w:t>Safety officer appointment letter</w:t>
            </w:r>
          </w:p>
        </w:tc>
        <w:tc>
          <w:tcPr>
            <w:tcW w:type="dxa" w:w="6192"/>
          </w:tcPr>
          <w:p>
            <w:pPr>
              <w:spacing w:after="40"/>
            </w:pPr>
            <w:r/>
            <w:r>
              <w:rPr>
                <w:rFonts w:ascii="Calibri" w:hAnsi="Calibri"/>
                <w:color w:val="565656"/>
                <w:sz w:val="18"/>
              </w:rPr>
              <w:t>The letter itself, with the statutory duties attached rather than described, so the appointment and the job description cannot drift apart.</w:t>
            </w:r>
          </w:p>
        </w:tc>
      </w:tr>
      <w:tr>
        <w:tc>
          <w:tcPr>
            <w:tcW w:type="dxa" w:w="576"/>
          </w:tcPr>
          <w:p>
            <w:pPr>
              <w:spacing w:after="40"/>
            </w:pPr>
            <w:r/>
            <w:r>
              <w:rPr>
                <w:rFonts w:ascii="Calibri" w:hAnsi="Calibri"/>
                <w:color w:val="565656"/>
                <w:sz w:val="18"/>
              </w:rPr>
              <w:t>03</w:t>
            </w:r>
          </w:p>
        </w:tc>
        <w:tc>
          <w:tcPr>
            <w:tcW w:type="dxa" w:w="3168"/>
          </w:tcPr>
          <w:p>
            <w:pPr>
              <w:spacing w:after="40"/>
            </w:pPr>
            <w:r/>
            <w:r>
              <w:rPr>
                <w:rFonts w:ascii="Calibri" w:hAnsi="Calibri"/>
                <w:color w:val="565656"/>
                <w:sz w:val="18"/>
              </w:rPr>
              <w:t>Safety officer duties schedule</w:t>
            </w:r>
          </w:p>
        </w:tc>
        <w:tc>
          <w:tcPr>
            <w:tcW w:type="dxa" w:w="6192"/>
          </w:tcPr>
          <w:p>
            <w:pPr>
              <w:spacing w:after="40"/>
            </w:pPr>
            <w:r/>
            <w:r>
              <w:rPr>
                <w:rFonts w:ascii="Calibri" w:hAnsi="Calibri"/>
                <w:color w:val="565656"/>
                <w:sz w:val="18"/>
              </w:rPr>
              <w:t>The eleven duties rule 19 prescribes, as a schedule to the letter.</w:t>
            </w:r>
          </w:p>
        </w:tc>
      </w:tr>
      <w:tr>
        <w:tc>
          <w:tcPr>
            <w:tcW w:type="dxa" w:w="576"/>
          </w:tcPr>
          <w:p>
            <w:pPr>
              <w:spacing w:after="40"/>
            </w:pPr>
            <w:r/>
            <w:r>
              <w:rPr>
                <w:rFonts w:ascii="Calibri" w:hAnsi="Calibri"/>
                <w:color w:val="565656"/>
                <w:sz w:val="18"/>
              </w:rPr>
              <w:t>04</w:t>
            </w:r>
          </w:p>
        </w:tc>
        <w:tc>
          <w:tcPr>
            <w:tcW w:type="dxa" w:w="3168"/>
          </w:tcPr>
          <w:p>
            <w:pPr>
              <w:spacing w:after="40"/>
            </w:pPr>
            <w:r/>
            <w:r>
              <w:rPr>
                <w:rFonts w:ascii="Calibri" w:hAnsi="Calibri"/>
                <w:color w:val="565656"/>
                <w:sz w:val="18"/>
              </w:rPr>
              <w:t>Safety officer qualification record</w:t>
            </w:r>
          </w:p>
        </w:tc>
        <w:tc>
          <w:tcPr>
            <w:tcW w:type="dxa" w:w="6192"/>
          </w:tcPr>
          <w:p>
            <w:pPr>
              <w:spacing w:after="40"/>
            </w:pPr>
            <w:r/>
            <w:r>
              <w:rPr>
                <w:rFonts w:ascii="Calibri" w:hAnsi="Calibri"/>
                <w:color w:val="565656"/>
                <w:sz w:val="18"/>
              </w:rPr>
              <w:t>Which of the six routes in rules 18(2) and 18(3) the appointee satisfies, with the evidence noted against it.</w:t>
            </w:r>
          </w:p>
        </w:tc>
      </w:tr>
      <w:tr>
        <w:tc>
          <w:tcPr>
            <w:tcW w:type="dxa" w:w="576"/>
          </w:tcPr>
          <w:p>
            <w:pPr>
              <w:spacing w:after="40"/>
            </w:pPr>
            <w:r/>
            <w:r>
              <w:rPr>
                <w:rFonts w:ascii="Calibri" w:hAnsi="Calibri"/>
                <w:color w:val="565656"/>
                <w:sz w:val="18"/>
              </w:rPr>
              <w:t>05</w:t>
            </w:r>
          </w:p>
        </w:tc>
        <w:tc>
          <w:tcPr>
            <w:tcW w:type="dxa" w:w="3168"/>
          </w:tcPr>
          <w:p>
            <w:pPr>
              <w:spacing w:after="40"/>
            </w:pPr>
            <w:r/>
            <w:r>
              <w:rPr>
                <w:rFonts w:ascii="Calibri" w:hAnsi="Calibri"/>
                <w:color w:val="565656"/>
                <w:sz w:val="18"/>
              </w:rPr>
              <w:t>Safety officer's record book</w:t>
            </w:r>
          </w:p>
        </w:tc>
        <w:tc>
          <w:tcPr>
            <w:tcW w:type="dxa" w:w="6192"/>
          </w:tcPr>
          <w:p>
            <w:pPr>
              <w:spacing w:after="40"/>
            </w:pPr>
            <w:r/>
            <w:r>
              <w:rPr>
                <w:rFonts w:ascii="Calibri" w:hAnsi="Calibri"/>
                <w:color w:val="565656"/>
                <w:sz w:val="18"/>
              </w:rPr>
              <w:t>Rule 19(k) requires a bound paged book, or a retrievable and non-editable electronic form.</w:t>
            </w:r>
          </w:p>
        </w:tc>
      </w:tr>
      <w:tr>
        <w:tc>
          <w:tcPr>
            <w:tcW w:type="dxa" w:w="576"/>
          </w:tcPr>
          <w:p>
            <w:pPr>
              <w:spacing w:after="40"/>
            </w:pPr>
            <w:r/>
            <w:r>
              <w:rPr>
                <w:rFonts w:ascii="Calibri" w:hAnsi="Calibri"/>
                <w:color w:val="565656"/>
                <w:sz w:val="18"/>
              </w:rPr>
              <w:t>06</w:t>
            </w:r>
          </w:p>
        </w:tc>
        <w:tc>
          <w:tcPr>
            <w:tcW w:type="dxa" w:w="3168"/>
          </w:tcPr>
          <w:p>
            <w:pPr>
              <w:spacing w:after="40"/>
            </w:pPr>
            <w:r/>
            <w:r>
              <w:rPr>
                <w:rFonts w:ascii="Calibri" w:hAnsi="Calibri"/>
                <w:color w:val="565656"/>
                <w:sz w:val="18"/>
              </w:rPr>
              <w:t>Resolution constituting the Safety Committee</w:t>
            </w:r>
          </w:p>
        </w:tc>
        <w:tc>
          <w:tcPr>
            <w:tcW w:type="dxa" w:w="6192"/>
          </w:tcPr>
          <w:p>
            <w:pPr>
              <w:spacing w:after="40"/>
            </w:pPr>
            <w:r/>
            <w:r>
              <w:rPr>
                <w:rFonts w:ascii="Calibri" w:hAnsi="Calibri"/>
                <w:color w:val="565656"/>
                <w:sz w:val="18"/>
              </w:rPr>
              <w:t>The minute that creates it, with the equal numbers, the twenty cap and the three year tenure on the record.</w:t>
            </w:r>
          </w:p>
        </w:tc>
      </w:tr>
      <w:tr>
        <w:tc>
          <w:tcPr>
            <w:tcW w:type="dxa" w:w="576"/>
          </w:tcPr>
          <w:p>
            <w:pPr>
              <w:spacing w:after="40"/>
            </w:pPr>
            <w:r/>
            <w:r>
              <w:rPr>
                <w:rFonts w:ascii="Calibri" w:hAnsi="Calibri"/>
                <w:color w:val="565656"/>
                <w:sz w:val="18"/>
              </w:rPr>
              <w:t>07</w:t>
            </w:r>
          </w:p>
        </w:tc>
        <w:tc>
          <w:tcPr>
            <w:tcW w:type="dxa" w:w="3168"/>
          </w:tcPr>
          <w:p>
            <w:pPr>
              <w:spacing w:after="40"/>
            </w:pPr>
            <w:r/>
            <w:r>
              <w:rPr>
                <w:rFonts w:ascii="Calibri" w:hAnsi="Calibri"/>
                <w:color w:val="565656"/>
                <w:sz w:val="18"/>
              </w:rPr>
              <w:t>Notice to workers announcing the Committee</w:t>
            </w:r>
          </w:p>
        </w:tc>
        <w:tc>
          <w:tcPr>
            <w:tcW w:type="dxa" w:w="6192"/>
          </w:tcPr>
          <w:p>
            <w:pPr>
              <w:spacing w:after="40"/>
            </w:pPr>
            <w:r/>
            <w:r>
              <w:rPr>
                <w:rFonts w:ascii="Calibri" w:hAnsi="Calibri"/>
                <w:color w:val="565656"/>
                <w:sz w:val="18"/>
              </w:rPr>
              <w:t>For the notice board.</w:t>
            </w:r>
          </w:p>
        </w:tc>
      </w:tr>
      <w:tr>
        <w:tc>
          <w:tcPr>
            <w:tcW w:type="dxa" w:w="576"/>
          </w:tcPr>
          <w:p>
            <w:pPr>
              <w:spacing w:after="40"/>
            </w:pPr>
            <w:r/>
            <w:r>
              <w:rPr>
                <w:rFonts w:ascii="Calibri" w:hAnsi="Calibri"/>
                <w:color w:val="565656"/>
                <w:sz w:val="18"/>
              </w:rPr>
              <w:t>08</w:t>
            </w:r>
          </w:p>
        </w:tc>
        <w:tc>
          <w:tcPr>
            <w:tcW w:type="dxa" w:w="3168"/>
          </w:tcPr>
          <w:p>
            <w:pPr>
              <w:spacing w:after="40"/>
            </w:pPr>
            <w:r/>
            <w:r>
              <w:rPr>
                <w:rFonts w:ascii="Calibri" w:hAnsi="Calibri"/>
                <w:color w:val="565656"/>
                <w:sz w:val="18"/>
              </w:rPr>
              <w:t>Safety Committee meeting minutes</w:t>
            </w:r>
          </w:p>
        </w:tc>
        <w:tc>
          <w:tcPr>
            <w:tcW w:type="dxa" w:w="6192"/>
          </w:tcPr>
          <w:p>
            <w:pPr>
              <w:spacing w:after="40"/>
            </w:pPr>
            <w:r/>
            <w:r>
              <w:rPr>
                <w:rFonts w:ascii="Calibri" w:hAnsi="Calibri"/>
                <w:color w:val="565656"/>
                <w:sz w:val="18"/>
              </w:rPr>
              <w:t>Quarterly, or monthly in a mine, with the hazard and accident information rule 14(4) says the Committee must be given.</w:t>
            </w:r>
          </w:p>
        </w:tc>
      </w:tr>
      <w:tr>
        <w:tc>
          <w:tcPr>
            <w:tcW w:type="dxa" w:w="576"/>
          </w:tcPr>
          <w:p>
            <w:pPr>
              <w:spacing w:after="40"/>
            </w:pPr>
            <w:r/>
            <w:r>
              <w:rPr>
                <w:rFonts w:ascii="Calibri" w:hAnsi="Calibri"/>
                <w:color w:val="565656"/>
                <w:sz w:val="18"/>
              </w:rPr>
              <w:t>09</w:t>
            </w:r>
          </w:p>
        </w:tc>
        <w:tc>
          <w:tcPr>
            <w:tcW w:type="dxa" w:w="3168"/>
          </w:tcPr>
          <w:p>
            <w:pPr>
              <w:spacing w:after="40"/>
            </w:pPr>
            <w:r/>
            <w:r>
              <w:rPr>
                <w:rFonts w:ascii="Calibri" w:hAnsi="Calibri"/>
                <w:color w:val="565656"/>
                <w:sz w:val="18"/>
              </w:rPr>
              <w:t>Recommendations and action register</w:t>
            </w:r>
          </w:p>
        </w:tc>
        <w:tc>
          <w:tcPr>
            <w:tcW w:type="dxa" w:w="6192"/>
          </w:tcPr>
          <w:p>
            <w:pPr>
              <w:spacing w:after="40"/>
            </w:pPr>
            <w:r/>
            <w:r>
              <w:rPr>
                <w:rFonts w:ascii="Calibri" w:hAnsi="Calibri"/>
                <w:color w:val="565656"/>
                <w:sz w:val="18"/>
              </w:rPr>
              <w:t>The fifteen day clock in rule 14(5) runs from receipt of each recommendation.</w:t>
            </w:r>
          </w:p>
        </w:tc>
      </w:tr>
      <w:tr>
        <w:tc>
          <w:tcPr>
            <w:tcW w:type="dxa" w:w="576"/>
          </w:tcPr>
          <w:p>
            <w:pPr>
              <w:spacing w:after="40"/>
            </w:pPr>
            <w:r/>
            <w:r>
              <w:rPr>
                <w:rFonts w:ascii="Calibri" w:hAnsi="Calibri"/>
                <w:color w:val="565656"/>
                <w:sz w:val="18"/>
              </w:rPr>
              <w:t>10</w:t>
            </w:r>
          </w:p>
        </w:tc>
        <w:tc>
          <w:tcPr>
            <w:tcW w:type="dxa" w:w="3168"/>
          </w:tcPr>
          <w:p>
            <w:pPr>
              <w:spacing w:after="40"/>
            </w:pPr>
            <w:r/>
            <w:r>
              <w:rPr>
                <w:rFonts w:ascii="Calibri" w:hAnsi="Calibri"/>
                <w:color w:val="565656"/>
                <w:sz w:val="18"/>
              </w:rPr>
              <w:t>Annual compliance calendar</w:t>
            </w:r>
          </w:p>
        </w:tc>
        <w:tc>
          <w:tcPr>
            <w:tcW w:type="dxa" w:w="6192"/>
          </w:tcPr>
          <w:p>
            <w:pPr>
              <w:spacing w:after="40"/>
            </w:pPr>
            <w:r/>
            <w:r>
              <w:rPr>
                <w:rFonts w:ascii="Calibri" w:hAnsi="Calibri"/>
                <w:color w:val="565656"/>
                <w:sz w:val="18"/>
              </w:rPr>
              <w:t>Meetings due, tenure expiry, and the review of whether a changed headcount has moved you onto a different limb.</w:t>
            </w:r>
          </w:p>
        </w:tc>
      </w:tr>
    </w:tbl>
    <w:p>
      <w:pPr>
        <w:keepNext w:val="0"/>
        <w:spacing w:after="160" w:before="0"/>
      </w:pPr>
      <w:r>
        <w:rPr>
          <w:rFonts w:ascii="Calibri" w:hAnsi="Calibri"/>
          <w:b w:val="0"/>
          <w:i w:val="0"/>
          <w:color w:val="1D1D1D"/>
          <w:sz w:val="21"/>
        </w:rPr>
      </w:r>
    </w:p>
    <w:p>
      <w:pPr>
        <w:keepNext w:val="0"/>
        <w:spacing w:after="120" w:before="0"/>
      </w:pPr>
      <w:r>
        <w:rPr>
          <w:rFonts w:ascii="Calibri" w:hAnsi="Calibri"/>
          <w:b w:val="0"/>
          <w:i/>
          <w:color w:val="565656"/>
          <w:sz w:val="19"/>
        </w:rPr>
        <w:t>Square brackets mark everything you replace. Dates are DD-MMM-YYYY throughout. One caution before you reach for Find and Replace: [NAME] is a different person in different formats, the officer in Format 02, the chairperson and the secretary in Format 06, each member in Format 07. Fill them in place.</w:t>
      </w:r>
    </w:p>
    <w:p>
      <w:r>
        <w:br w:type="page"/>
      </w:r>
    </w:p>
    <w:p>
      <w:pPr>
        <w:pStyle w:val="Heading1"/>
        <w:keepNext/>
        <w:spacing w:after="200" w:before="80"/>
        <w:ind w:left="115"/>
        <w:shd w:val="clear" w:fill="008CDB"/>
      </w:pPr>
      <w:r>
        <w:rPr>
          <w:rFonts w:ascii="Calibri" w:hAnsi="Calibri"/>
          <w:b/>
          <w:color w:val="FFFFFF"/>
          <w:sz w:val="22"/>
        </w:rPr>
        <w:t>7  ·  THE FORMATS</w:t>
      </w:r>
    </w:p>
    <w:p>
      <w:pPr>
        <w:keepNext w:val="0"/>
        <w:spacing w:after="200" w:before="0"/>
      </w:pPr>
      <w:r>
        <w:rPr>
          <w:rFonts w:ascii="Calibri" w:hAnsi="Calibri"/>
          <w:b w:val="0"/>
          <w:i w:val="0"/>
          <w:color w:val="1D1D1D"/>
          <w:sz w:val="21"/>
        </w:rPr>
        <w:t>Ten documents, from the worksheet that tells you whether any of this applies to the calendar that keeps it running.</w:t>
      </w:r>
    </w:p>
    <w:p>
      <w:r>
        <w:br w:type="page"/>
      </w:r>
    </w:p>
    <w:p>
      <w:pPr>
        <w:pStyle w:val="Heading1"/>
        <w:keepNext/>
        <w:spacing w:after="200" w:before="80"/>
        <w:ind w:left="115"/>
        <w:shd w:val="clear" w:fill="0069A4"/>
      </w:pPr>
      <w:r>
        <w:rPr>
          <w:rFonts w:ascii="Calibri" w:hAnsi="Calibri"/>
          <w:b/>
          <w:color w:val="FFFFFF"/>
          <w:sz w:val="20"/>
        </w:rPr>
        <w:t>FORMAT 01  ·  THRESHOLD WORKSHEET</w:t>
      </w:r>
    </w:p>
    <w:p>
      <w:pPr>
        <w:keepNext w:val="0"/>
        <w:spacing w:after="160" w:before="0"/>
        <w:ind w:left="144"/>
        <w:shd w:val="clear" w:fill="F4FAFE"/>
      </w:pPr>
      <w:r>
        <w:rPr>
          <w:rFonts w:ascii="Calibri" w:hAnsi="Calibri"/>
          <w:b w:val="0"/>
          <w:i/>
          <w:color w:val="565656"/>
          <w:sz w:val="18"/>
        </w:rPr>
        <w:t>Fill this first. It counts your workers the way section 22(2) counts them and tells you which limb you are on, or that none of them is.</w:t>
      </w:r>
    </w:p>
    <w:p>
      <w:pPr>
        <w:keepNext w:val="0"/>
        <w:spacing w:after="40" w:before="0"/>
      </w:pPr>
      <w:r>
        <w:rPr>
          <w:rFonts w:ascii="Calibri" w:hAnsi="Calibri"/>
          <w:b/>
          <w:i w:val="0"/>
          <w:color w:val="1D1D1D"/>
          <w:sz w:val="26"/>
        </w:rPr>
        <w:t>THRESHOLD WORKSHEET</w:t>
      </w:r>
    </w:p>
    <w:p>
      <w:pPr>
        <w:keepNext w:val="0"/>
        <w:spacing w:after="200" w:before="0"/>
      </w:pPr>
      <w:r>
        <w:rPr>
          <w:rFonts w:ascii="Calibri" w:hAnsi="Calibri"/>
          <w:b w:val="0"/>
          <w:i w:val="0"/>
          <w:color w:val="565656"/>
          <w:sz w:val="19"/>
        </w:rPr>
        <w:t>[COMPANY NAME]  ·  Counted on [DD-MMM-YYYY]</w:t>
      </w:r>
    </w:p>
    <w:tbl>
      <w:tblPr>
        <w:tblStyle w:val="TableGrid"/>
        <w:tblW w:type="auto" w:w="0"/>
        <w:tblLook w:firstColumn="1" w:firstRow="1" w:lastColumn="0" w:lastRow="0" w:noHBand="0" w:noVBand="1" w:val="04A0"/>
      </w:tblPr>
      <w:tblGrid>
        <w:gridCol w:w="4824"/>
        <w:gridCol w:w="4824"/>
      </w:tblGrid>
      <w:tr>
        <w:tc>
          <w:tcPr>
            <w:tcW w:type="dxa" w:w="3312"/>
          </w:tcPr>
          <w:p>
            <w:pPr>
              <w:spacing w:after="40"/>
              <w:shd w:val="clear" w:fill="E8F4FC"/>
            </w:pPr>
            <w:r/>
            <w:r>
              <w:rPr>
                <w:rFonts w:ascii="Calibri" w:hAnsi="Calibri"/>
                <w:b/>
                <w:color w:val="0069A4"/>
                <w:sz w:val="18"/>
              </w:rPr>
              <w:t>Step</w:t>
            </w:r>
          </w:p>
        </w:tc>
        <w:tc>
          <w:tcPr>
            <w:tcW w:type="dxa" w:w="6048"/>
          </w:tcPr>
          <w:p>
            <w:pPr>
              <w:spacing w:after="40"/>
              <w:shd w:val="clear" w:fill="E8F4FC"/>
            </w:pPr>
            <w:r/>
            <w:r>
              <w:rPr>
                <w:rFonts w:ascii="Calibri" w:hAnsi="Calibri"/>
                <w:b/>
                <w:color w:val="0069A4"/>
                <w:sz w:val="18"/>
              </w:rPr>
              <w:t>Your answer</w:t>
            </w:r>
          </w:p>
        </w:tc>
      </w:tr>
      <w:tr>
        <w:tc>
          <w:tcPr>
            <w:tcW w:type="dxa" w:w="3312"/>
          </w:tcPr>
          <w:p>
            <w:pPr>
              <w:spacing w:after="40"/>
            </w:pPr>
            <w:r/>
            <w:r>
              <w:rPr>
                <w:rFonts w:ascii="Calibri" w:hAnsi="Calibri"/>
                <w:color w:val="565656"/>
                <w:sz w:val="18"/>
              </w:rPr>
              <w:t>Kind of establishment</w:t>
            </w:r>
          </w:p>
        </w:tc>
        <w:tc>
          <w:tcPr>
            <w:tcW w:type="dxa" w:w="6048"/>
          </w:tcPr>
          <w:p>
            <w:pPr>
              <w:spacing w:after="40"/>
            </w:pPr>
            <w:r/>
            <w:r>
              <w:rPr>
                <w:rFonts w:ascii="Calibri" w:hAnsi="Calibri"/>
                <w:color w:val="565656"/>
                <w:sz w:val="18"/>
              </w:rPr>
              <w:t>[FACTORY / HAZARDOUS PROCESS FACTORY / CONSTRUCTION / MINE / DOCK WORK]</w:t>
            </w:r>
          </w:p>
        </w:tc>
      </w:tr>
      <w:tr>
        <w:tc>
          <w:tcPr>
            <w:tcW w:type="dxa" w:w="3312"/>
          </w:tcPr>
          <w:p>
            <w:pPr>
              <w:spacing w:after="40"/>
            </w:pPr>
            <w:r/>
            <w:r>
              <w:rPr>
                <w:rFonts w:ascii="Calibri" w:hAnsi="Calibri"/>
                <w:color w:val="565656"/>
                <w:sz w:val="18"/>
              </w:rPr>
              <w:t>Workers ordinarily employed</w:t>
            </w:r>
          </w:p>
        </w:tc>
        <w:tc>
          <w:tcPr>
            <w:tcW w:type="dxa" w:w="6048"/>
          </w:tcPr>
          <w:p>
            <w:pPr>
              <w:spacing w:after="40"/>
            </w:pPr>
            <w:r/>
            <w:r>
              <w:rPr>
                <w:rFonts w:ascii="Calibri" w:hAnsi="Calibri"/>
                <w:color w:val="565656"/>
                <w:sz w:val="18"/>
              </w:rPr>
              <w:t>[NUMBER]</w:t>
            </w:r>
          </w:p>
        </w:tc>
      </w:tr>
      <w:tr>
        <w:tc>
          <w:tcPr>
            <w:tcW w:type="dxa" w:w="3312"/>
          </w:tcPr>
          <w:p>
            <w:pPr>
              <w:spacing w:after="40"/>
            </w:pPr>
            <w:r/>
            <w:r>
              <w:rPr>
                <w:rFonts w:ascii="Calibri" w:hAnsi="Calibri"/>
                <w:color w:val="565656"/>
                <w:sz w:val="18"/>
              </w:rPr>
              <w:t>Basis of that figure</w:t>
            </w:r>
          </w:p>
        </w:tc>
        <w:tc>
          <w:tcPr>
            <w:tcW w:type="dxa" w:w="6048"/>
          </w:tcPr>
          <w:p>
            <w:pPr>
              <w:spacing w:after="40"/>
            </w:pPr>
            <w:r/>
            <w:r>
              <w:rPr>
                <w:rFonts w:ascii="Calibri" w:hAnsi="Calibri"/>
                <w:color w:val="565656"/>
                <w:sz w:val="18"/>
              </w:rPr>
              <w:t>[HOW YOU COUNTED, AND OVER WHAT PERIOD]</w:t>
            </w:r>
          </w:p>
        </w:tc>
      </w:tr>
      <w:tr>
        <w:tc>
          <w:tcPr>
            <w:tcW w:type="dxa" w:w="3312"/>
          </w:tcPr>
          <w:p>
            <w:pPr>
              <w:spacing w:after="40"/>
            </w:pPr>
            <w:r/>
            <w:r>
              <w:rPr>
                <w:rFonts w:ascii="Calibri" w:hAnsi="Calibri"/>
                <w:color w:val="565656"/>
                <w:sz w:val="18"/>
              </w:rPr>
              <w:t>Threshold for your kind</w:t>
            </w:r>
          </w:p>
        </w:tc>
        <w:tc>
          <w:tcPr>
            <w:tcW w:type="dxa" w:w="6048"/>
          </w:tcPr>
          <w:p>
            <w:pPr>
              <w:spacing w:after="40"/>
            </w:pPr>
            <w:r/>
            <w:r>
              <w:rPr>
                <w:rFonts w:ascii="Calibri" w:hAnsi="Calibri"/>
                <w:color w:val="565656"/>
                <w:sz w:val="18"/>
              </w:rPr>
              <w:t>[500 / 250 / 250 / 100 / 500]</w:t>
            </w:r>
          </w:p>
        </w:tc>
      </w:tr>
      <w:tr>
        <w:tc>
          <w:tcPr>
            <w:tcW w:type="dxa" w:w="3312"/>
          </w:tcPr>
          <w:p>
            <w:pPr>
              <w:spacing w:after="40"/>
            </w:pPr>
            <w:r/>
            <w:r>
              <w:rPr>
                <w:rFonts w:ascii="Calibri" w:hAnsi="Calibri"/>
                <w:color w:val="565656"/>
                <w:sz w:val="18"/>
              </w:rPr>
              <w:t>Safety officer owed?</w:t>
            </w:r>
          </w:p>
        </w:tc>
        <w:tc>
          <w:tcPr>
            <w:tcW w:type="dxa" w:w="6048"/>
          </w:tcPr>
          <w:p>
            <w:pPr>
              <w:spacing w:after="40"/>
            </w:pPr>
            <w:r/>
            <w:r>
              <w:rPr>
                <w:rFonts w:ascii="Calibri" w:hAnsi="Calibri"/>
                <w:color w:val="565656"/>
                <w:sz w:val="18"/>
              </w:rPr>
              <w:t>[YES / NO]</w:t>
            </w:r>
          </w:p>
        </w:tc>
      </w:tr>
      <w:tr>
        <w:tc>
          <w:tcPr>
            <w:tcW w:type="dxa" w:w="3312"/>
          </w:tcPr>
          <w:p>
            <w:pPr>
              <w:spacing w:after="40"/>
            </w:pPr>
            <w:r/>
            <w:r>
              <w:rPr>
                <w:rFonts w:ascii="Calibri" w:hAnsi="Calibri"/>
                <w:color w:val="565656"/>
                <w:sz w:val="18"/>
              </w:rPr>
              <w:t>Appropriate Government</w:t>
            </w:r>
          </w:p>
        </w:tc>
        <w:tc>
          <w:tcPr>
            <w:tcW w:type="dxa" w:w="6048"/>
          </w:tcPr>
          <w:p>
            <w:pPr>
              <w:spacing w:after="40"/>
            </w:pPr>
            <w:r/>
            <w:r>
              <w:rPr>
                <w:rFonts w:ascii="Calibri" w:hAnsi="Calibri"/>
                <w:color w:val="565656"/>
                <w:sz w:val="18"/>
              </w:rPr>
              <w:t>[CENTRE / STATE, AND WHY]</w:t>
            </w:r>
          </w:p>
        </w:tc>
      </w:tr>
      <w:tr>
        <w:tc>
          <w:tcPr>
            <w:tcW w:type="dxa" w:w="3312"/>
          </w:tcPr>
          <w:p>
            <w:pPr>
              <w:spacing w:after="40"/>
            </w:pPr>
            <w:r/>
            <w:r>
              <w:rPr>
                <w:rFonts w:ascii="Calibri" w:hAnsi="Calibri"/>
                <w:color w:val="565656"/>
                <w:sz w:val="18"/>
              </w:rPr>
              <w:t>Safety Committee owed?</w:t>
            </w:r>
          </w:p>
        </w:tc>
        <w:tc>
          <w:tcPr>
            <w:tcW w:type="dxa" w:w="6048"/>
          </w:tcPr>
          <w:p>
            <w:pPr>
              <w:spacing w:after="40"/>
            </w:pPr>
            <w:r/>
            <w:r>
              <w:rPr>
                <w:rFonts w:ascii="Calibri" w:hAnsi="Calibri"/>
                <w:color w:val="565656"/>
                <w:sz w:val="18"/>
              </w:rPr>
              <w:t>[YES, AT 500 IF CENTRAL SPHERE / CHECK YOUR STATE]</w:t>
            </w:r>
          </w:p>
        </w:tc>
      </w:tr>
      <w:tr>
        <w:tc>
          <w:tcPr>
            <w:tcW w:type="dxa" w:w="3312"/>
          </w:tcPr>
          <w:p>
            <w:pPr>
              <w:spacing w:after="40"/>
            </w:pPr>
            <w:r/>
            <w:r>
              <w:rPr>
                <w:rFonts w:ascii="Calibri" w:hAnsi="Calibri"/>
                <w:color w:val="565656"/>
                <w:sz w:val="18"/>
              </w:rPr>
              <w:t>Next review date</w:t>
            </w:r>
          </w:p>
        </w:tc>
        <w:tc>
          <w:tcPr>
            <w:tcW w:type="dxa" w:w="6048"/>
          </w:tcPr>
          <w:p>
            <w:pPr>
              <w:spacing w:after="40"/>
            </w:pPr>
            <w:r/>
            <w:r>
              <w:rPr>
                <w:rFonts w:ascii="Calibri" w:hAnsi="Calibri"/>
                <w:color w:val="565656"/>
                <w:sz w:val="18"/>
              </w:rPr>
              <w:t>[DD-MMM-YYYY]</w:t>
            </w:r>
          </w:p>
        </w:tc>
      </w:tr>
    </w:tbl>
    <w:p>
      <w:pPr>
        <w:keepNext w:val="0"/>
        <w:spacing w:after="160" w:before="0"/>
      </w:pPr>
      <w:r>
        <w:rPr>
          <w:rFonts w:ascii="Calibri" w:hAnsi="Calibri"/>
          <w:b w:val="0"/>
          <w:i w:val="0"/>
          <w:color w:val="1D1D1D"/>
          <w:sz w:val="21"/>
        </w:rPr>
      </w:r>
    </w:p>
    <w:p>
      <w:pPr>
        <w:keepNext w:val="0"/>
        <w:spacing w:after="120" w:before="0"/>
      </w:pPr>
      <w:r>
        <w:rPr>
          <w:rFonts w:ascii="Calibri" w:hAnsi="Calibri"/>
          <w:b w:val="0"/>
          <w:i/>
          <w:color w:val="565656"/>
          <w:sz w:val="19"/>
        </w:rPr>
        <w:t>Keep the completed worksheet. It is the document that shows you asked the question, which matters most in the year you were just under the line.</w:t>
      </w:r>
    </w:p>
    <w:p>
      <w:r>
        <w:br w:type="page"/>
      </w:r>
    </w:p>
    <w:p>
      <w:pPr>
        <w:pStyle w:val="Heading1"/>
        <w:keepNext/>
        <w:spacing w:after="200" w:before="80"/>
        <w:ind w:left="115"/>
        <w:shd w:val="clear" w:fill="0069A4"/>
      </w:pPr>
      <w:r>
        <w:rPr>
          <w:rFonts w:ascii="Calibri" w:hAnsi="Calibri"/>
          <w:b/>
          <w:color w:val="FFFFFF"/>
          <w:sz w:val="20"/>
        </w:rPr>
        <w:t>FORMAT 02  ·  SAFETY OFFICER APPOINTMENT LETTER</w:t>
      </w:r>
    </w:p>
    <w:p>
      <w:pPr>
        <w:keepNext w:val="0"/>
        <w:spacing w:after="160" w:before="0"/>
        <w:ind w:left="144"/>
        <w:shd w:val="clear" w:fill="F4FAFE"/>
      </w:pPr>
      <w:r>
        <w:rPr>
          <w:rFonts w:ascii="Calibri" w:hAnsi="Calibri"/>
          <w:b w:val="0"/>
          <w:i/>
          <w:color w:val="565656"/>
          <w:sz w:val="18"/>
        </w:rPr>
        <w:t>The letter itself, with the statutory duties attached rather than described, so the appointment and the job description cannot drift apart.</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160" w:before="0"/>
      </w:pPr>
      <w:r>
        <w:rPr>
          <w:rFonts w:ascii="Calibri" w:hAnsi="Calibri"/>
          <w:b/>
          <w:i w:val="0"/>
          <w:color w:val="1D1D1D"/>
          <w:sz w:val="24"/>
        </w:rPr>
        <w:t>APPOINTMENT AS SAFETY OFFICER</w:t>
      </w:r>
    </w:p>
    <w:p>
      <w:pPr>
        <w:keepNext w:val="0"/>
        <w:spacing w:after="120" w:before="0"/>
      </w:pPr>
      <w:r>
        <w:rPr>
          <w:rFonts w:ascii="Calibri" w:hAnsi="Calibri"/>
          <w:b w:val="0"/>
          <w:i w:val="0"/>
          <w:color w:val="1D1D1D"/>
          <w:sz w:val="20"/>
        </w:rPr>
        <w:t>Dear [NAME],</w:t>
      </w:r>
    </w:p>
    <w:p>
      <w:pPr>
        <w:keepNext w:val="0"/>
        <w:spacing w:after="120" w:before="0"/>
      </w:pPr>
      <w:r>
        <w:rPr>
          <w:rFonts w:ascii="Calibri" w:hAnsi="Calibri"/>
          <w:b w:val="0"/>
          <w:i w:val="0"/>
          <w:color w:val="1D1D1D"/>
          <w:sz w:val="20"/>
        </w:rPr>
        <w:t>You are appointed Safety Officer of [COMPANY NAME] at [ESTABLISHMENT AND ADDRESS] with effect from [DD-MMM-YYYY].</w:t>
      </w:r>
    </w:p>
    <w:p>
      <w:pPr>
        <w:keepNext w:val="0"/>
        <w:spacing w:after="120" w:before="0"/>
      </w:pPr>
      <w:r>
        <w:rPr>
          <w:rFonts w:ascii="Calibri" w:hAnsi="Calibri"/>
          <w:b w:val="0"/>
          <w:i w:val="0"/>
          <w:color w:val="1D1D1D"/>
          <w:sz w:val="20"/>
        </w:rPr>
        <w:t>This appointment is made under section 22(2) of the Occupational Safety, Health and Working Conditions Code, 2020. The establishment is a [KIND OF ESTABLISHMENT] in which [NUMBER] workers are ordinarily employed.</w:t>
      </w:r>
    </w:p>
    <w:p>
      <w:pPr>
        <w:keepNext w:val="0"/>
        <w:spacing w:after="120" w:before="0"/>
      </w:pPr>
      <w:r>
        <w:rPr>
          <w:rFonts w:ascii="Calibri" w:hAnsi="Calibri"/>
          <w:b w:val="0"/>
          <w:i w:val="0"/>
          <w:color w:val="1D1D1D"/>
          <w:sz w:val="20"/>
        </w:rPr>
        <w:t>Your duties are set out in the schedule to this letter. They are duties of advice, inspection, investigation and record, and you are to have access to every part of the establishment and to the information you need to discharge them.</w:t>
      </w:r>
    </w:p>
    <w:p>
      <w:pPr>
        <w:keepNext w:val="0"/>
        <w:spacing w:after="120" w:before="0"/>
      </w:pPr>
      <w:r>
        <w:rPr>
          <w:rFonts w:ascii="Calibri" w:hAnsi="Calibri"/>
          <w:b w:val="0"/>
          <w:i w:val="0"/>
          <w:color w:val="1D1D1D"/>
          <w:sz w:val="20"/>
        </w:rPr>
        <w:t>You will report to [NAME, DESIGNATION] and will act as Secretary of the Safety Committee where one is constituted.</w:t>
      </w:r>
    </w:p>
    <w:p>
      <w:pPr>
        <w:keepNext w:val="0"/>
        <w:spacing w:after="120" w:before="0"/>
      </w:pPr>
      <w:r>
        <w:rPr>
          <w:rFonts w:ascii="Calibri" w:hAnsi="Calibri"/>
          <w:b w:val="0"/>
          <w:i w:val="0"/>
          <w:color w:val="1D1D1D"/>
          <w:sz w:val="20"/>
        </w:rPr>
        <w:t>You are required to maintain a detailed record of the work you perform, in a bound paged book or in retrievable and non-editable electronic form. Format 05 of this pack is the page layout.</w:t>
      </w:r>
    </w:p>
    <w:p>
      <w:pPr>
        <w:keepNext w:val="0"/>
        <w:spacing w:after="120" w:before="0"/>
      </w:pPr>
      <w:r>
        <w:rPr>
          <w:rFonts w:ascii="Calibri" w:hAnsi="Calibri"/>
          <w:b w:val="0"/>
          <w:i w:val="0"/>
          <w:color w:val="1D1D1D"/>
          <w:sz w:val="20"/>
        </w:rPr>
        <w:t>Nothing in this letter limits the duties the Code places on the employer. The appointment does not transfer them to you.</w:t>
      </w:r>
    </w:p>
    <w:p>
      <w:pPr>
        <w:keepNext w:val="0"/>
        <w:spacing w:after="120" w:before="0"/>
      </w:pPr>
      <w:r>
        <w:rPr>
          <w:rFonts w:ascii="Calibri" w:hAnsi="Calibri"/>
          <w:b w:val="0"/>
          <w:i w:val="0"/>
          <w:color w:val="1D1D1D"/>
          <w:sz w:val="21"/>
        </w:rPr>
      </w:r>
    </w:p>
    <w:p>
      <w:pPr>
        <w:keepNext w:val="0"/>
        <w:spacing w:after="32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pPr>
        <w:spacing w:after="160" w:before="160"/>
        <w:pBdr>
          <w:bottom w:val="single" w:sz="6" w:space="1" w:color="D1EAF9"/>
        </w:pBdr>
      </w:pPr>
    </w:p>
    <w:p>
      <w:pPr>
        <w:keepNext w:val="0"/>
        <w:spacing w:after="240" w:before="0"/>
      </w:pPr>
      <w:r>
        <w:rPr>
          <w:rFonts w:ascii="Calibri" w:hAnsi="Calibri"/>
          <w:b w:val="0"/>
          <w:i/>
          <w:color w:val="565656"/>
          <w:sz w:val="18"/>
        </w:rPr>
        <w:t>Received a copy.</w:t>
      </w:r>
    </w:p>
    <w:p>
      <w:pPr>
        <w:keepNext w:val="0"/>
        <w:spacing w:after="80" w:before="0"/>
      </w:pPr>
      <w:r>
        <w:rPr>
          <w:rFonts w:ascii="Calibri" w:hAnsi="Calibri"/>
          <w:b w:val="0"/>
          <w:i w:val="0"/>
          <w:color w:val="1D1D1D"/>
          <w:sz w:val="19"/>
        </w:rPr>
        <w:t>Signature: ______________________       Date: ______________</w:t>
      </w:r>
    </w:p>
    <w:p>
      <w:r>
        <w:br w:type="page"/>
      </w:r>
    </w:p>
    <w:p>
      <w:pPr>
        <w:pStyle w:val="Heading1"/>
        <w:keepNext/>
        <w:spacing w:after="200" w:before="80"/>
        <w:ind w:left="115"/>
        <w:shd w:val="clear" w:fill="0069A4"/>
      </w:pPr>
      <w:r>
        <w:rPr>
          <w:rFonts w:ascii="Calibri" w:hAnsi="Calibri"/>
          <w:b/>
          <w:color w:val="FFFFFF"/>
          <w:sz w:val="20"/>
        </w:rPr>
        <w:t>FORMAT 03  ·  SAFETY OFFICER DUTIES SCHEDULE</w:t>
      </w:r>
    </w:p>
    <w:p>
      <w:pPr>
        <w:keepNext w:val="0"/>
        <w:spacing w:after="160" w:before="0"/>
        <w:ind w:left="144"/>
        <w:shd w:val="clear" w:fill="F4FAFE"/>
      </w:pPr>
      <w:r>
        <w:rPr>
          <w:rFonts w:ascii="Calibri" w:hAnsi="Calibri"/>
          <w:b w:val="0"/>
          <w:i/>
          <w:color w:val="565656"/>
          <w:sz w:val="18"/>
        </w:rPr>
        <w:t>The eleven duties rule 19 prescribes, as a schedule to the letter. For a factory these are the Centre's, offered as a model.</w:t>
      </w:r>
    </w:p>
    <w:p>
      <w:pPr>
        <w:keepNext w:val="0"/>
        <w:spacing w:after="40" w:before="0"/>
      </w:pPr>
      <w:r>
        <w:rPr>
          <w:rFonts w:ascii="Calibri" w:hAnsi="Calibri"/>
          <w:b/>
          <w:i w:val="0"/>
          <w:color w:val="1D1D1D"/>
          <w:sz w:val="26"/>
        </w:rPr>
        <w:t>SCHEDULE OF DUTIES</w:t>
      </w:r>
    </w:p>
    <w:p>
      <w:pPr>
        <w:keepNext w:val="0"/>
        <w:spacing w:after="200" w:before="0"/>
      </w:pPr>
      <w:r>
        <w:rPr>
          <w:rFonts w:ascii="Calibri" w:hAnsi="Calibri"/>
          <w:b w:val="0"/>
          <w:i w:val="0"/>
          <w:color w:val="565656"/>
          <w:sz w:val="19"/>
        </w:rPr>
        <w:t>Annexed to the appointment of [NAME] as Safety Officer, dated [DD-MMM-YYYY]</w:t>
      </w:r>
    </w:p>
    <w:p>
      <w:pPr>
        <w:keepNext w:val="0"/>
        <w:spacing w:after="160" w:before="0"/>
      </w:pPr>
      <w:r>
        <w:rPr>
          <w:rFonts w:ascii="Calibri" w:hAnsi="Calibri"/>
          <w:b w:val="0"/>
          <w:i w:val="0"/>
          <w:color w:val="1D1D1D"/>
          <w:sz w:val="20"/>
        </w:rPr>
        <w:t>The duties of a Safety Officer are to advise and assist in the fulfilment of statutory obligations concerning the prevention of personal injuries and the maintenance of a safe working environment, and include the following.</w:t>
      </w:r>
    </w:p>
    <w:p>
      <w:pPr>
        <w:keepNext w:val="0"/>
        <w:spacing w:after="80" w:before="0"/>
        <w:ind w:left="144"/>
      </w:pPr>
      <w:r>
        <w:rPr>
          <w:rFonts w:ascii="Calibri" w:hAnsi="Calibri"/>
          <w:b w:val="0"/>
          <w:i w:val="0"/>
          <w:color w:val="565656"/>
          <w:sz w:val="20"/>
        </w:rPr>
        <w:t>1.  Advise the concerned departments in planning and organising measures necessary for the effective control of personal injuries.</w:t>
      </w:r>
    </w:p>
    <w:p>
      <w:pPr>
        <w:keepNext w:val="0"/>
        <w:spacing w:after="80" w:before="0"/>
        <w:ind w:left="144"/>
      </w:pPr>
      <w:r>
        <w:rPr>
          <w:rFonts w:ascii="Calibri" w:hAnsi="Calibri"/>
          <w:b w:val="0"/>
          <w:i w:val="0"/>
          <w:color w:val="565656"/>
          <w:sz w:val="20"/>
        </w:rPr>
        <w:t>2.  Advise on safety aspects in all job studies, and carry out detailed job safety studies of selected jobs.</w:t>
      </w:r>
    </w:p>
    <w:p>
      <w:pPr>
        <w:keepNext w:val="0"/>
        <w:spacing w:after="80" w:before="0"/>
        <w:ind w:left="144"/>
      </w:pPr>
      <w:r>
        <w:rPr>
          <w:rFonts w:ascii="Calibri" w:hAnsi="Calibri"/>
          <w:b w:val="0"/>
          <w:i w:val="0"/>
          <w:color w:val="565656"/>
          <w:sz w:val="20"/>
        </w:rPr>
        <w:t>3.  Check and evaluate the effectiveness of the action taken or proposed to be taken to prevent personal injuries.</w:t>
      </w:r>
    </w:p>
    <w:p>
      <w:pPr>
        <w:keepNext w:val="0"/>
        <w:spacing w:after="80" w:before="0"/>
        <w:ind w:left="144"/>
      </w:pPr>
      <w:r>
        <w:rPr>
          <w:rFonts w:ascii="Calibri" w:hAnsi="Calibri"/>
          <w:b w:val="0"/>
          <w:i w:val="0"/>
          <w:color w:val="565656"/>
          <w:sz w:val="20"/>
        </w:rPr>
        <w:t>4.  Advise on matters related to carrying out safety inspections.</w:t>
      </w:r>
    </w:p>
    <w:p>
      <w:pPr>
        <w:keepNext w:val="0"/>
        <w:spacing w:after="80" w:before="0"/>
        <w:ind w:left="144"/>
      </w:pPr>
      <w:r>
        <w:rPr>
          <w:rFonts w:ascii="Calibri" w:hAnsi="Calibri"/>
          <w:b w:val="0"/>
          <w:i w:val="0"/>
          <w:color w:val="565656"/>
          <w:sz w:val="20"/>
        </w:rPr>
        <w:t>5.  Carry out plant safety inspections, observe the physical conditions of work and the practices and procedures followed by workers, and advise on removing unsafe conditions and preventing unsafe actions.</w:t>
      </w:r>
    </w:p>
    <w:p>
      <w:pPr>
        <w:keepNext w:val="0"/>
        <w:spacing w:after="80" w:before="0"/>
        <w:ind w:left="144"/>
      </w:pPr>
      <w:r>
        <w:rPr>
          <w:rFonts w:ascii="Calibri" w:hAnsi="Calibri"/>
          <w:b w:val="0"/>
          <w:i w:val="0"/>
          <w:color w:val="565656"/>
          <w:sz w:val="20"/>
        </w:rPr>
        <w:t>6.  Advise on matters related to reporting and investigating accidents, dangerous occurrences and diseases.</w:t>
      </w:r>
    </w:p>
    <w:p>
      <w:pPr>
        <w:keepNext w:val="0"/>
        <w:spacing w:after="80" w:before="0"/>
        <w:ind w:left="144"/>
      </w:pPr>
      <w:r>
        <w:rPr>
          <w:rFonts w:ascii="Calibri" w:hAnsi="Calibri"/>
          <w:b w:val="0"/>
          <w:i w:val="0"/>
          <w:color w:val="565656"/>
          <w:sz w:val="20"/>
        </w:rPr>
        <w:t>7.  Investigate selected accidents and dangerous occurrences.</w:t>
      </w:r>
    </w:p>
    <w:p>
      <w:pPr>
        <w:keepNext w:val="0"/>
        <w:spacing w:after="80" w:before="0"/>
        <w:ind w:left="144"/>
      </w:pPr>
      <w:r>
        <w:rPr>
          <w:rFonts w:ascii="Calibri" w:hAnsi="Calibri"/>
          <w:b w:val="0"/>
          <w:i w:val="0"/>
          <w:color w:val="565656"/>
          <w:sz w:val="20"/>
        </w:rPr>
        <w:t>8.  Investigate cases of the notifiable diseases listed in the Third Schedule to the Code.</w:t>
      </w:r>
    </w:p>
    <w:p>
      <w:pPr>
        <w:keepNext w:val="0"/>
        <w:spacing w:after="80" w:before="0"/>
        <w:ind w:left="144"/>
      </w:pPr>
      <w:r>
        <w:rPr>
          <w:rFonts w:ascii="Calibri" w:hAnsi="Calibri"/>
          <w:b w:val="0"/>
          <w:i w:val="0"/>
          <w:color w:val="565656"/>
          <w:sz w:val="20"/>
        </w:rPr>
        <w:t>9.  Organise, with the concerned departments, campaigns, competitions, contests and other activities that keep workers interested in safe conditions and procedures.</w:t>
      </w:r>
    </w:p>
    <w:p>
      <w:pPr>
        <w:keepNext w:val="0"/>
        <w:spacing w:after="80" w:before="0"/>
        <w:ind w:left="144"/>
      </w:pPr>
      <w:r>
        <w:rPr>
          <w:rFonts w:ascii="Calibri" w:hAnsi="Calibri"/>
          <w:b w:val="0"/>
          <w:i w:val="0"/>
          <w:color w:val="565656"/>
          <w:sz w:val="20"/>
        </w:rPr>
        <w:t>10.  Design and run, alone or with the training department, training and educational programmes for the prevention of personal injuries.</w:t>
      </w:r>
    </w:p>
    <w:p>
      <w:pPr>
        <w:keepNext w:val="0"/>
        <w:spacing w:after="80" w:before="0"/>
        <w:ind w:left="144"/>
      </w:pPr>
      <w:r>
        <w:rPr>
          <w:rFonts w:ascii="Calibri" w:hAnsi="Calibri"/>
          <w:b w:val="0"/>
          <w:i w:val="0"/>
          <w:color w:val="565656"/>
          <w:sz w:val="20"/>
        </w:rPr>
        <w:t>11.  Maintain a detailed record of the work performed, in a bound paged book or in retrievable and non-editable electronic form.</w:t>
      </w:r>
    </w:p>
    <w:p>
      <w:pPr>
        <w:keepNext w:val="0"/>
        <w:spacing w:after="160" w:before="0"/>
      </w:pPr>
      <w:r>
        <w:rPr>
          <w:rFonts w:ascii="Calibri" w:hAnsi="Calibri"/>
          <w:b w:val="0"/>
          <w:i w:val="0"/>
          <w:color w:val="1D1D1D"/>
          <w:sz w:val="21"/>
        </w:rPr>
      </w:r>
    </w:p>
    <w:p>
      <w:pPr>
        <w:keepNext w:val="0"/>
        <w:spacing w:after="200" w:before="0"/>
      </w:pPr>
      <w:r>
        <w:rPr>
          <w:rFonts w:ascii="Calibri" w:hAnsi="Calibri"/>
          <w:b w:val="0"/>
          <w:i/>
          <w:color w:val="565656"/>
          <w:sz w:val="19"/>
        </w:rPr>
        <w:t>These eleven duties are rule 19 of the OSH (Central) Rules, 2026, which is headed "Duties of Safety Officers in case of dock work and building or other construction work" and reaches no further. For a factory they are offered as a model, because a factory's duties are prescribed by its State. For a MINE do not use this schedule at all: rule 21 prescribes a different set, below.</w:t>
      </w:r>
    </w:p>
    <w:p>
      <w:pPr>
        <w:keepNext w:val="0"/>
        <w:spacing w:after="80" w:before="0"/>
      </w:pPr>
      <w:r>
        <w:rPr>
          <w:rFonts w:ascii="Calibri" w:hAnsi="Calibri"/>
          <w:b/>
          <w:i w:val="0"/>
          <w:color w:val="1D1D1D"/>
          <w:sz w:val="22"/>
        </w:rPr>
        <w:t>If you are a mine: the eleven duties in rule 21</w:t>
      </w:r>
    </w:p>
    <w:p>
      <w:pPr>
        <w:keepNext w:val="0"/>
        <w:spacing w:after="160" w:before="0"/>
      </w:pPr>
      <w:r>
        <w:rPr>
          <w:rFonts w:ascii="Calibri" w:hAnsi="Calibri"/>
          <w:b w:val="0"/>
          <w:i w:val="0"/>
          <w:color w:val="565656"/>
          <w:sz w:val="20"/>
        </w:rPr>
        <w:t>Attach these instead. They are not a variation on the list above, they are a different list for a different kind of work.</w:t>
      </w:r>
    </w:p>
    <w:p>
      <w:pPr>
        <w:keepNext w:val="0"/>
        <w:spacing w:after="80" w:before="0"/>
        <w:ind w:left="144"/>
      </w:pPr>
      <w:r>
        <w:rPr>
          <w:rFonts w:ascii="Calibri" w:hAnsi="Calibri"/>
          <w:b w:val="0"/>
          <w:i w:val="0"/>
          <w:color w:val="565656"/>
          <w:sz w:val="20"/>
        </w:rPr>
        <w:t>1.  Visit the surface, aboveground and underground parts of the mine, and the installations of an oil mine, to meet employees on the spot, talk to them about safety and invite their suggestions.</w:t>
      </w:r>
    </w:p>
    <w:p>
      <w:pPr>
        <w:keepNext w:val="0"/>
        <w:spacing w:after="80" w:before="0"/>
        <w:ind w:left="144"/>
      </w:pPr>
      <w:r>
        <w:rPr>
          <w:rFonts w:ascii="Calibri" w:hAnsi="Calibri"/>
          <w:b w:val="0"/>
          <w:i w:val="0"/>
          <w:color w:val="565656"/>
          <w:sz w:val="20"/>
        </w:rPr>
        <w:t>2.  Take charge of newly recruited staff and show them around the mine, pointing out the safe and unsafe acts they will meet in their work.</w:t>
      </w:r>
    </w:p>
    <w:p>
      <w:pPr>
        <w:keepNext w:val="0"/>
        <w:spacing w:after="80" w:before="0"/>
        <w:ind w:left="144"/>
      </w:pPr>
      <w:r>
        <w:rPr>
          <w:rFonts w:ascii="Calibri" w:hAnsi="Calibri"/>
          <w:b w:val="0"/>
          <w:i w:val="0"/>
          <w:color w:val="565656"/>
          <w:sz w:val="20"/>
        </w:rPr>
        <w:t>3.  Investigate all types of accidents, dangerous occurrences and incidents in the mine, INCLUDING minor accidents, and analyse them to pinpoint the nature and common causes.</w:t>
      </w:r>
    </w:p>
    <w:p>
      <w:pPr>
        <w:keepNext w:val="0"/>
        <w:spacing w:after="80" w:before="0"/>
        <w:ind w:left="144"/>
      </w:pPr>
      <w:r>
        <w:rPr>
          <w:rFonts w:ascii="Calibri" w:hAnsi="Calibri"/>
          <w:b w:val="0"/>
          <w:i w:val="0"/>
          <w:color w:val="565656"/>
          <w:sz w:val="20"/>
        </w:rPr>
        <w:t>4.  Maintain detailed statistics about mine accidents and analyse them to the same end.</w:t>
      </w:r>
    </w:p>
    <w:p>
      <w:pPr>
        <w:keepNext w:val="0"/>
        <w:spacing w:after="80" w:before="0"/>
        <w:ind w:left="144"/>
      </w:pPr>
      <w:r>
        <w:rPr>
          <w:rFonts w:ascii="Calibri" w:hAnsi="Calibri"/>
          <w:b w:val="0"/>
          <w:i w:val="0"/>
          <w:color w:val="565656"/>
          <w:sz w:val="20"/>
        </w:rPr>
        <w:t>5.  Study and apprise the manager referred to in section 67 of the Code of all possible sources of danger, such as inundation, fire, coal dust and blowout in oil mines.</w:t>
      </w:r>
    </w:p>
    <w:p>
      <w:pPr>
        <w:keepNext w:val="0"/>
        <w:spacing w:after="80" w:before="0"/>
        <w:ind w:left="144"/>
      </w:pPr>
      <w:r>
        <w:rPr>
          <w:rFonts w:ascii="Calibri" w:hAnsi="Calibri"/>
          <w:b w:val="0"/>
          <w:i w:val="0"/>
          <w:color w:val="565656"/>
          <w:sz w:val="20"/>
        </w:rPr>
        <w:t>6.  Hold safety classes and give safety talks and lectures to the members of the supervisory staff.</w:t>
      </w:r>
    </w:p>
    <w:p>
      <w:pPr>
        <w:keepNext w:val="0"/>
        <w:spacing w:after="80" w:before="0"/>
        <w:ind w:left="144"/>
      </w:pPr>
      <w:r>
        <w:rPr>
          <w:rFonts w:ascii="Calibri" w:hAnsi="Calibri"/>
          <w:b w:val="0"/>
          <w:i w:val="0"/>
          <w:color w:val="565656"/>
          <w:sz w:val="20"/>
        </w:rPr>
        <w:t>7.  Organise safety weeks and other safety education programmes in the mine.</w:t>
      </w:r>
    </w:p>
    <w:p>
      <w:pPr>
        <w:keepNext w:val="0"/>
        <w:spacing w:after="80" w:before="0"/>
        <w:ind w:left="144"/>
      </w:pPr>
      <w:r>
        <w:rPr>
          <w:rFonts w:ascii="Calibri" w:hAnsi="Calibri"/>
          <w:b w:val="0"/>
          <w:i w:val="0"/>
          <w:color w:val="565656"/>
          <w:sz w:val="20"/>
        </w:rPr>
        <w:t>8.  See that all concerned mine employees are fully conversant with the standing orders, codes of practice, the support plan and like matters.</w:t>
      </w:r>
    </w:p>
    <w:p>
      <w:pPr>
        <w:keepNext w:val="0"/>
        <w:spacing w:after="80" w:before="0"/>
        <w:ind w:left="144"/>
      </w:pPr>
      <w:r>
        <w:rPr>
          <w:rFonts w:ascii="Calibri" w:hAnsi="Calibri"/>
          <w:b w:val="0"/>
          <w:i w:val="0"/>
          <w:color w:val="565656"/>
          <w:sz w:val="20"/>
        </w:rPr>
        <w:t>9.  Assist in formulating the programme for training at mine level, including vocational training, gas testing, fire-fighting and first aid.</w:t>
      </w:r>
    </w:p>
    <w:p>
      <w:pPr>
        <w:keepNext w:val="0"/>
        <w:spacing w:after="80" w:before="0"/>
        <w:ind w:left="144"/>
      </w:pPr>
      <w:r>
        <w:rPr>
          <w:rFonts w:ascii="Calibri" w:hAnsi="Calibri"/>
          <w:b w:val="0"/>
          <w:i w:val="0"/>
          <w:color w:val="565656"/>
          <w:sz w:val="20"/>
        </w:rPr>
        <w:t>10.  Report to the manager referred to in section 67, as a result of visits to the various parts of the mine, whether the Code and the rules and regulations made under it are being complied with.</w:t>
      </w:r>
    </w:p>
    <w:p>
      <w:pPr>
        <w:keepNext w:val="0"/>
        <w:spacing w:after="80" w:before="0"/>
        <w:ind w:left="144"/>
      </w:pPr>
      <w:r>
        <w:rPr>
          <w:rFonts w:ascii="Calibri" w:hAnsi="Calibri"/>
          <w:b w:val="0"/>
          <w:i w:val="0"/>
          <w:color w:val="565656"/>
          <w:sz w:val="20"/>
        </w:rPr>
        <w:t>11.  Promote safe practices generally, support every measure intended to further safety in the mine, and follow up on compliance.</w:t>
      </w:r>
    </w:p>
    <w:p>
      <w:pPr>
        <w:keepNext w:val="0"/>
        <w:spacing w:after="160" w:before="0"/>
      </w:pPr>
      <w:r>
        <w:rPr>
          <w:rFonts w:ascii="Calibri" w:hAnsi="Calibri"/>
          <w:b w:val="0"/>
          <w:i w:val="0"/>
          <w:color w:val="1D1D1D"/>
          <w:sz w:val="21"/>
        </w:rPr>
      </w:r>
    </w:p>
    <w:p>
      <w:pPr>
        <w:keepNext w:val="0"/>
        <w:spacing w:after="160" w:before="0"/>
        <w:ind w:left="173"/>
        <w:shd w:val="clear" w:fill="FFF6E5"/>
      </w:pPr>
      <w:r>
        <w:rPr>
          <w:rFonts w:ascii="Calibri" w:hAnsi="Calibri"/>
          <w:b w:val="0"/>
          <w:i w:val="0"/>
          <w:color w:val="1D1D1D"/>
          <w:sz w:val="20"/>
        </w:rPr>
        <w:t>And rule 21(3) is the one a mine operator should read twice: EXCEPT IN AN EMERGENCY, no duties other than assisting the manager on safety and the eleven above shall be assigned to the safety officer. You may not give the post other work to fill the week. Rule 21(2) also puts the emergency plan on the officer, and rule 21(4) requires the same bound paged book rule 19(k) does.</w:t>
      </w:r>
    </w:p>
    <w:p>
      <w:r>
        <w:br w:type="page"/>
      </w:r>
    </w:p>
    <w:p>
      <w:pPr>
        <w:pStyle w:val="Heading1"/>
        <w:keepNext/>
        <w:spacing w:after="200" w:before="80"/>
        <w:ind w:left="115"/>
        <w:shd w:val="clear" w:fill="0069A4"/>
      </w:pPr>
      <w:r>
        <w:rPr>
          <w:rFonts w:ascii="Calibri" w:hAnsi="Calibri"/>
          <w:b/>
          <w:color w:val="FFFFFF"/>
          <w:sz w:val="20"/>
        </w:rPr>
        <w:t>FORMAT 04  ·  SAFETY OFFICER QUALIFICATION RECORD</w:t>
      </w:r>
    </w:p>
    <w:p>
      <w:pPr>
        <w:keepNext w:val="0"/>
        <w:spacing w:after="160" w:before="0"/>
        <w:ind w:left="144"/>
        <w:shd w:val="clear" w:fill="F4FAFE"/>
      </w:pPr>
      <w:r>
        <w:rPr>
          <w:rFonts w:ascii="Calibri" w:hAnsi="Calibri"/>
          <w:b w:val="0"/>
          <w:i/>
          <w:color w:val="565656"/>
          <w:sz w:val="18"/>
        </w:rPr>
        <w:t>Which of the six routes in rules 18(2) and 18(3) the appointee satisfies, with the evidence noted against it.</w:t>
      </w:r>
    </w:p>
    <w:p>
      <w:pPr>
        <w:keepNext w:val="0"/>
        <w:spacing w:after="40" w:before="0"/>
      </w:pPr>
      <w:r>
        <w:rPr>
          <w:rFonts w:ascii="Calibri" w:hAnsi="Calibri"/>
          <w:b/>
          <w:i w:val="0"/>
          <w:color w:val="1D1D1D"/>
          <w:sz w:val="26"/>
        </w:rPr>
        <w:t>SAFETY OFFICER QUALIFICATION RECORD</w:t>
      </w:r>
    </w:p>
    <w:p>
      <w:pPr>
        <w:keepNext w:val="0"/>
        <w:spacing w:after="200" w:before="0"/>
      </w:pPr>
      <w:r>
        <w:rPr>
          <w:rFonts w:ascii="Calibri" w:hAnsi="Calibri"/>
          <w:b w:val="0"/>
          <w:i w:val="0"/>
          <w:color w:val="565656"/>
          <w:sz w:val="19"/>
        </w:rPr>
        <w:t>[NAME]  ·  Appointed [DD-MMM-YYYY]</w:t>
      </w:r>
    </w:p>
    <w:p>
      <w:pPr>
        <w:keepNext w:val="0"/>
        <w:spacing w:after="160" w:before="0"/>
      </w:pPr>
      <w:r>
        <w:rPr>
          <w:rFonts w:ascii="Calibri" w:hAnsi="Calibri"/>
          <w:b w:val="0"/>
          <w:i w:val="0"/>
          <w:color w:val="565656"/>
          <w:sz w:val="19"/>
        </w:rPr>
        <w:t>For dock work or building or other construction work. If you are a MINE, use the second table instead: rule 20(2) applies and none of these routes does.</w:t>
      </w:r>
    </w:p>
    <w:tbl>
      <w:tblPr>
        <w:tblStyle w:val="TableGrid"/>
        <w:tblW w:type="auto" w:w="0"/>
        <w:tblLook w:firstColumn="1" w:firstRow="1" w:lastColumn="0" w:lastRow="0" w:noHBand="0" w:noVBand="1" w:val="04A0"/>
      </w:tblPr>
      <w:tblGrid>
        <w:gridCol w:w="3216"/>
        <w:gridCol w:w="3216"/>
        <w:gridCol w:w="3216"/>
      </w:tblGrid>
      <w:tr>
        <w:tc>
          <w:tcPr>
            <w:tcW w:type="dxa" w:w="4320"/>
          </w:tcPr>
          <w:p>
            <w:pPr>
              <w:spacing w:after="40"/>
              <w:shd w:val="clear" w:fill="E8F4FC"/>
            </w:pPr>
            <w:r/>
            <w:r>
              <w:rPr>
                <w:rFonts w:ascii="Calibri" w:hAnsi="Calibri"/>
                <w:b/>
                <w:color w:val="0069A4"/>
                <w:sz w:val="18"/>
              </w:rPr>
              <w:t>Route under rule 18(2) and 18(3)</w:t>
            </w:r>
          </w:p>
        </w:tc>
        <w:tc>
          <w:tcPr>
            <w:tcW w:type="dxa" w:w="1296"/>
          </w:tcPr>
          <w:p>
            <w:pPr>
              <w:spacing w:after="40"/>
              <w:shd w:val="clear" w:fill="E8F4FC"/>
            </w:pPr>
            <w:r/>
            <w:r>
              <w:rPr>
                <w:rFonts w:ascii="Calibri" w:hAnsi="Calibri"/>
                <w:b/>
                <w:color w:val="0069A4"/>
                <w:sz w:val="18"/>
              </w:rPr>
              <w:t>Met?</w:t>
            </w:r>
          </w:p>
        </w:tc>
        <w:tc>
          <w:tcPr>
            <w:tcW w:type="dxa" w:w="3744"/>
          </w:tcPr>
          <w:p>
            <w:pPr>
              <w:spacing w:after="40"/>
              <w:shd w:val="clear" w:fill="E8F4FC"/>
            </w:pPr>
            <w:r/>
            <w:r>
              <w:rPr>
                <w:rFonts w:ascii="Calibri" w:hAnsi="Calibri"/>
                <w:b/>
                <w:color w:val="0069A4"/>
                <w:sz w:val="18"/>
              </w:rPr>
              <w:t>Evidence held</w:t>
            </w:r>
          </w:p>
        </w:tc>
      </w:tr>
      <w:tr>
        <w:tc>
          <w:tcPr>
            <w:tcW w:type="dxa" w:w="4320"/>
          </w:tcPr>
          <w:p>
            <w:pPr>
              <w:spacing w:after="40"/>
            </w:pPr>
            <w:r/>
            <w:r>
              <w:rPr>
                <w:rFonts w:ascii="Calibri" w:hAnsi="Calibri"/>
                <w:color w:val="565656"/>
                <w:sz w:val="18"/>
              </w:rPr>
              <w:t>A degree in any branch of engineering or technology</w:t>
            </w:r>
          </w:p>
        </w:tc>
        <w:tc>
          <w:tcPr>
            <w:tcW w:type="dxa" w:w="1296"/>
          </w:tcPr>
          <w:p>
            <w:pPr>
              <w:spacing w:after="40"/>
            </w:pPr>
            <w:r/>
            <w:r>
              <w:rPr>
                <w:rFonts w:ascii="Calibri" w:hAnsi="Calibri"/>
                <w:color w:val="565656"/>
                <w:sz w:val="18"/>
              </w:rPr>
              <w:t>[YES / NO]</w:t>
            </w:r>
          </w:p>
        </w:tc>
        <w:tc>
          <w:tcPr>
            <w:tcW w:type="dxa" w:w="3744"/>
          </w:tcPr>
          <w:p>
            <w:pPr>
              <w:spacing w:after="40"/>
            </w:pPr>
            <w:r/>
            <w:r>
              <w:rPr>
                <w:rFonts w:ascii="Calibri" w:hAnsi="Calibri"/>
                <w:color w:val="565656"/>
                <w:sz w:val="18"/>
              </w:rPr>
              <w:t>[CERTIFICATE, DATE, ISSUING BODY]</w:t>
            </w:r>
          </w:p>
        </w:tc>
      </w:tr>
      <w:tr>
        <w:tc>
          <w:tcPr>
            <w:tcW w:type="dxa" w:w="4320"/>
          </w:tcPr>
          <w:p>
            <w:pPr>
              <w:spacing w:after="40"/>
            </w:pPr>
            <w:r/>
            <w:r>
              <w:rPr>
                <w:rFonts w:ascii="Calibri" w:hAnsi="Calibri"/>
                <w:color w:val="565656"/>
                <w:sz w:val="18"/>
              </w:rPr>
              <w:t>A degree in physics or chemistry</w:t>
            </w:r>
          </w:p>
        </w:tc>
        <w:tc>
          <w:tcPr>
            <w:tcW w:type="dxa" w:w="1296"/>
          </w:tcPr>
          <w:p>
            <w:pPr>
              <w:spacing w:after="40"/>
            </w:pPr>
            <w:r/>
            <w:r>
              <w:rPr>
                <w:rFonts w:ascii="Calibri" w:hAnsi="Calibri"/>
                <w:color w:val="565656"/>
                <w:sz w:val="18"/>
              </w:rPr>
              <w:t>[YES / NO]</w:t>
            </w:r>
          </w:p>
        </w:tc>
        <w:tc>
          <w:tcPr>
            <w:tcW w:type="dxa" w:w="3744"/>
          </w:tcPr>
          <w:p>
            <w:pPr>
              <w:spacing w:after="40"/>
            </w:pPr>
            <w:r/>
            <w:r>
              <w:rPr>
                <w:rFonts w:ascii="Calibri" w:hAnsi="Calibri"/>
                <w:color w:val="565656"/>
                <w:sz w:val="18"/>
              </w:rPr>
              <w:t>[CERTIFICATE, DATE, ISSUING BODY]</w:t>
            </w:r>
          </w:p>
        </w:tc>
      </w:tr>
      <w:tr>
        <w:tc>
          <w:tcPr>
            <w:tcW w:type="dxa" w:w="4320"/>
          </w:tcPr>
          <w:p>
            <w:pPr>
              <w:spacing w:after="40"/>
            </w:pPr>
            <w:r/>
            <w:r>
              <w:rPr>
                <w:rFonts w:ascii="Calibri" w:hAnsi="Calibri"/>
                <w:color w:val="565656"/>
                <w:sz w:val="18"/>
              </w:rPr>
              <w:t>A diploma in any branch of engineering or technology</w:t>
            </w:r>
          </w:p>
        </w:tc>
        <w:tc>
          <w:tcPr>
            <w:tcW w:type="dxa" w:w="1296"/>
          </w:tcPr>
          <w:p>
            <w:pPr>
              <w:spacing w:after="40"/>
            </w:pPr>
            <w:r/>
            <w:r>
              <w:rPr>
                <w:rFonts w:ascii="Calibri" w:hAnsi="Calibri"/>
                <w:color w:val="565656"/>
                <w:sz w:val="18"/>
              </w:rPr>
              <w:t>[YES / NO]</w:t>
            </w:r>
          </w:p>
        </w:tc>
        <w:tc>
          <w:tcPr>
            <w:tcW w:type="dxa" w:w="3744"/>
          </w:tcPr>
          <w:p>
            <w:pPr>
              <w:spacing w:after="40"/>
            </w:pPr>
            <w:r/>
            <w:r>
              <w:rPr>
                <w:rFonts w:ascii="Calibri" w:hAnsi="Calibri"/>
                <w:color w:val="565656"/>
                <w:sz w:val="18"/>
              </w:rPr>
              <w:t>[CERTIFICATE, DATE, ISSUING BODY]</w:t>
            </w:r>
          </w:p>
        </w:tc>
      </w:tr>
      <w:tr>
        <w:tc>
          <w:tcPr>
            <w:tcW w:type="dxa" w:w="4320"/>
          </w:tcPr>
          <w:p>
            <w:pPr>
              <w:spacing w:after="40"/>
            </w:pPr>
            <w:r/>
            <w:r>
              <w:rPr>
                <w:rFonts w:ascii="Calibri" w:hAnsi="Calibri"/>
                <w:color w:val="565656"/>
                <w:sz w:val="18"/>
              </w:rPr>
              <w:t>A degree or diploma in industrial safety</w:t>
            </w:r>
          </w:p>
        </w:tc>
        <w:tc>
          <w:tcPr>
            <w:tcW w:type="dxa" w:w="1296"/>
          </w:tcPr>
          <w:p>
            <w:pPr>
              <w:spacing w:after="40"/>
            </w:pPr>
            <w:r/>
            <w:r>
              <w:rPr>
                <w:rFonts w:ascii="Calibri" w:hAnsi="Calibri"/>
                <w:color w:val="565656"/>
                <w:sz w:val="18"/>
              </w:rPr>
              <w:t>[YES / NO]</w:t>
            </w:r>
          </w:p>
        </w:tc>
        <w:tc>
          <w:tcPr>
            <w:tcW w:type="dxa" w:w="3744"/>
          </w:tcPr>
          <w:p>
            <w:pPr>
              <w:spacing w:after="40"/>
            </w:pPr>
            <w:r/>
            <w:r>
              <w:rPr>
                <w:rFonts w:ascii="Calibri" w:hAnsi="Calibri"/>
                <w:color w:val="565656"/>
                <w:sz w:val="18"/>
              </w:rPr>
              <w:t>[CERTIFICATE, DATE, ISSUING BODY]</w:t>
            </w:r>
          </w:p>
        </w:tc>
      </w:tr>
      <w:tr>
        <w:tc>
          <w:tcPr>
            <w:tcW w:type="dxa" w:w="4320"/>
          </w:tcPr>
          <w:p>
            <w:pPr>
              <w:spacing w:after="40"/>
            </w:pPr>
            <w:r/>
            <w:r>
              <w:rPr>
                <w:rFonts w:ascii="Calibri" w:hAnsi="Calibri"/>
                <w:color w:val="565656"/>
                <w:sz w:val="18"/>
              </w:rPr>
              <w:t>A degree or diploma in engineering or technology, with five years in government</w:t>
            </w:r>
          </w:p>
        </w:tc>
        <w:tc>
          <w:tcPr>
            <w:tcW w:type="dxa" w:w="1296"/>
          </w:tcPr>
          <w:p>
            <w:pPr>
              <w:spacing w:after="40"/>
            </w:pPr>
            <w:r/>
            <w:r>
              <w:rPr>
                <w:rFonts w:ascii="Calibri" w:hAnsi="Calibri"/>
                <w:color w:val="565656"/>
                <w:sz w:val="18"/>
              </w:rPr>
              <w:t>[YES / NO]</w:t>
            </w:r>
          </w:p>
        </w:tc>
        <w:tc>
          <w:tcPr>
            <w:tcW w:type="dxa" w:w="3744"/>
          </w:tcPr>
          <w:p>
            <w:pPr>
              <w:spacing w:after="40"/>
            </w:pPr>
            <w:r/>
            <w:r>
              <w:rPr>
                <w:rFonts w:ascii="Calibri" w:hAnsi="Calibri"/>
                <w:color w:val="565656"/>
                <w:sz w:val="18"/>
              </w:rPr>
              <w:t>[CERTIFICATE, DATE, ISSUING BODY]</w:t>
            </w:r>
          </w:p>
        </w:tc>
      </w:tr>
      <w:tr>
        <w:tc>
          <w:tcPr>
            <w:tcW w:type="dxa" w:w="4320"/>
          </w:tcPr>
          <w:p>
            <w:pPr>
              <w:spacing w:after="40"/>
            </w:pPr>
            <w:r/>
            <w:r>
              <w:rPr>
                <w:rFonts w:ascii="Calibri" w:hAnsi="Calibri"/>
                <w:color w:val="565656"/>
                <w:sz w:val="18"/>
              </w:rPr>
              <w:t>A degree or diploma in engineering or technology, with five years in accident prevention</w:t>
            </w:r>
          </w:p>
        </w:tc>
        <w:tc>
          <w:tcPr>
            <w:tcW w:type="dxa" w:w="1296"/>
          </w:tcPr>
          <w:p>
            <w:pPr>
              <w:spacing w:after="40"/>
            </w:pPr>
            <w:r/>
            <w:r>
              <w:rPr>
                <w:rFonts w:ascii="Calibri" w:hAnsi="Calibri"/>
                <w:color w:val="565656"/>
                <w:sz w:val="18"/>
              </w:rPr>
              <w:t>[YES / NO]</w:t>
            </w:r>
          </w:p>
        </w:tc>
        <w:tc>
          <w:tcPr>
            <w:tcW w:type="dxa" w:w="3744"/>
          </w:tcPr>
          <w:p>
            <w:pPr>
              <w:spacing w:after="40"/>
            </w:pPr>
            <w:r/>
            <w:r>
              <w:rPr>
                <w:rFonts w:ascii="Calibri" w:hAnsi="Calibri"/>
                <w:color w:val="565656"/>
                <w:sz w:val="18"/>
              </w:rPr>
              <w:t>[CERTIFICATE, DATE, ISSUING BODY]</w:t>
            </w:r>
          </w:p>
        </w:tc>
      </w:tr>
    </w:tbl>
    <w:p>
      <w:pPr>
        <w:keepNext w:val="0"/>
        <w:spacing w:after="160" w:before="0"/>
      </w:pPr>
      <w:r>
        <w:rPr>
          <w:rFonts w:ascii="Calibri" w:hAnsi="Calibri"/>
          <w:b w:val="0"/>
          <w:i w:val="0"/>
          <w:color w:val="1D1D1D"/>
          <w:sz w:val="21"/>
        </w:rPr>
      </w:r>
    </w:p>
    <w:p>
      <w:pPr>
        <w:keepNext w:val="0"/>
        <w:spacing w:after="200" w:before="0"/>
      </w:pPr>
      <w:r>
        <w:rPr>
          <w:rFonts w:ascii="Calibri" w:hAnsi="Calibri"/>
          <w:b w:val="0"/>
          <w:i/>
          <w:color w:val="565656"/>
          <w:sz w:val="19"/>
        </w:rPr>
        <w:t>Any one route is enough. The first four are rule 18(2), which is a bar on appointing someone who satisfies none of them, not a requirement to satisfy all. The last two are rule 18(3), which applies notwithstanding rule 18(2), so a person who meets none of the first four may still be eligible.</w:t>
      </w:r>
    </w:p>
    <w:p>
      <w:pPr>
        <w:keepNext w:val="0"/>
        <w:spacing w:after="80" w:before="0"/>
      </w:pPr>
      <w:r>
        <w:rPr>
          <w:rFonts w:ascii="Calibri" w:hAnsi="Calibri"/>
          <w:b/>
          <w:i w:val="0"/>
          <w:color w:val="1D1D1D"/>
          <w:sz w:val="22"/>
        </w:rPr>
        <w:t>If you are a mine: rule 20(2)</w:t>
      </w:r>
    </w:p>
    <w:tbl>
      <w:tblPr>
        <w:tblStyle w:val="TableGrid"/>
        <w:tblW w:type="auto" w:w="0"/>
        <w:tblLook w:firstColumn="1" w:firstRow="1" w:lastColumn="0" w:lastRow="0" w:noHBand="0" w:noVBand="1" w:val="04A0"/>
      </w:tblPr>
      <w:tblGrid>
        <w:gridCol w:w="3216"/>
        <w:gridCol w:w="3216"/>
        <w:gridCol w:w="3216"/>
      </w:tblGrid>
      <w:tr>
        <w:tc>
          <w:tcPr>
            <w:tcW w:type="dxa" w:w="4320"/>
          </w:tcPr>
          <w:p>
            <w:pPr>
              <w:spacing w:after="40"/>
              <w:shd w:val="clear" w:fill="E8F4FC"/>
            </w:pPr>
            <w:r/>
            <w:r>
              <w:rPr>
                <w:rFonts w:ascii="Calibri" w:hAnsi="Calibri"/>
                <w:b/>
                <w:color w:val="0069A4"/>
                <w:sz w:val="18"/>
              </w:rPr>
              <w:t>The mine</w:t>
            </w:r>
          </w:p>
        </w:tc>
        <w:tc>
          <w:tcPr>
            <w:tcW w:type="dxa" w:w="1296"/>
          </w:tcPr>
          <w:p>
            <w:pPr>
              <w:spacing w:after="40"/>
              <w:shd w:val="clear" w:fill="E8F4FC"/>
            </w:pPr>
            <w:r/>
            <w:r>
              <w:rPr>
                <w:rFonts w:ascii="Calibri" w:hAnsi="Calibri"/>
                <w:b/>
                <w:color w:val="0069A4"/>
                <w:sz w:val="18"/>
              </w:rPr>
              <w:t>Certificate held</w:t>
            </w:r>
          </w:p>
        </w:tc>
        <w:tc>
          <w:tcPr>
            <w:tcW w:type="dxa" w:w="3744"/>
          </w:tcPr>
          <w:p>
            <w:pPr>
              <w:spacing w:after="40"/>
              <w:shd w:val="clear" w:fill="E8F4FC"/>
            </w:pPr>
            <w:r/>
            <w:r>
              <w:rPr>
                <w:rFonts w:ascii="Calibri" w:hAnsi="Calibri"/>
                <w:b/>
                <w:color w:val="0069A4"/>
                <w:sz w:val="18"/>
              </w:rPr>
              <w:t>Evidence held</w:t>
            </w:r>
          </w:p>
        </w:tc>
      </w:tr>
      <w:tr>
        <w:tc>
          <w:tcPr>
            <w:tcW w:type="dxa" w:w="4320"/>
          </w:tcPr>
          <w:p>
            <w:pPr>
              <w:spacing w:after="40"/>
            </w:pPr>
            <w:r/>
            <w:r>
              <w:rPr>
                <w:rFonts w:ascii="Calibri" w:hAnsi="Calibri"/>
                <w:color w:val="565656"/>
                <w:sz w:val="18"/>
              </w:rPr>
              <w:t>Coal mine, belowground</w:t>
            </w:r>
          </w:p>
        </w:tc>
        <w:tc>
          <w:tcPr>
            <w:tcW w:type="dxa" w:w="1296"/>
          </w:tcPr>
          <w:p>
            <w:pPr>
              <w:spacing w:after="40"/>
            </w:pPr>
            <w:r/>
            <w:r>
              <w:rPr>
                <w:rFonts w:ascii="Calibri" w:hAnsi="Calibri"/>
                <w:color w:val="565656"/>
                <w:sz w:val="18"/>
              </w:rPr>
              <w:t>[YES / NO]</w:t>
            </w:r>
          </w:p>
        </w:tc>
        <w:tc>
          <w:tcPr>
            <w:tcW w:type="dxa" w:w="3744"/>
          </w:tcPr>
          <w:p>
            <w:pPr>
              <w:spacing w:after="40"/>
            </w:pPr>
            <w:r/>
            <w:r>
              <w:rPr>
                <w:rFonts w:ascii="Calibri" w:hAnsi="Calibri"/>
                <w:color w:val="565656"/>
                <w:sz w:val="18"/>
              </w:rPr>
              <w:t>[CERTIFICATE NUMBER, DATE, DGMS]</w:t>
            </w:r>
          </w:p>
        </w:tc>
      </w:tr>
      <w:tr>
        <w:tc>
          <w:tcPr>
            <w:tcW w:type="dxa" w:w="4320"/>
          </w:tcPr>
          <w:p>
            <w:pPr>
              <w:spacing w:after="40"/>
            </w:pPr>
            <w:r/>
            <w:r>
              <w:rPr>
                <w:rFonts w:ascii="Calibri" w:hAnsi="Calibri"/>
                <w:color w:val="565656"/>
                <w:sz w:val="18"/>
              </w:rPr>
              <w:t>Coal mine, opencast</w:t>
            </w:r>
          </w:p>
        </w:tc>
        <w:tc>
          <w:tcPr>
            <w:tcW w:type="dxa" w:w="1296"/>
          </w:tcPr>
          <w:p>
            <w:pPr>
              <w:spacing w:after="40"/>
            </w:pPr>
            <w:r/>
            <w:r>
              <w:rPr>
                <w:rFonts w:ascii="Calibri" w:hAnsi="Calibri"/>
                <w:color w:val="565656"/>
                <w:sz w:val="18"/>
              </w:rPr>
              <w:t>[YES / NO]</w:t>
            </w:r>
          </w:p>
        </w:tc>
        <w:tc>
          <w:tcPr>
            <w:tcW w:type="dxa" w:w="3744"/>
          </w:tcPr>
          <w:p>
            <w:pPr>
              <w:spacing w:after="40"/>
            </w:pPr>
            <w:r/>
            <w:r>
              <w:rPr>
                <w:rFonts w:ascii="Calibri" w:hAnsi="Calibri"/>
                <w:color w:val="565656"/>
                <w:sz w:val="18"/>
              </w:rPr>
              <w:t>[CERTIFICATE NUMBER, DATE, DGMS]</w:t>
            </w:r>
          </w:p>
        </w:tc>
      </w:tr>
      <w:tr>
        <w:tc>
          <w:tcPr>
            <w:tcW w:type="dxa" w:w="4320"/>
          </w:tcPr>
          <w:p>
            <w:pPr>
              <w:spacing w:after="40"/>
            </w:pPr>
            <w:r/>
            <w:r>
              <w:rPr>
                <w:rFonts w:ascii="Calibri" w:hAnsi="Calibri"/>
                <w:color w:val="565656"/>
                <w:sz w:val="18"/>
              </w:rPr>
              <w:t>Metalliferous mine, belowground</w:t>
            </w:r>
          </w:p>
        </w:tc>
        <w:tc>
          <w:tcPr>
            <w:tcW w:type="dxa" w:w="1296"/>
          </w:tcPr>
          <w:p>
            <w:pPr>
              <w:spacing w:after="40"/>
            </w:pPr>
            <w:r/>
            <w:r>
              <w:rPr>
                <w:rFonts w:ascii="Calibri" w:hAnsi="Calibri"/>
                <w:color w:val="565656"/>
                <w:sz w:val="18"/>
              </w:rPr>
              <w:t>[YES / NO]</w:t>
            </w:r>
          </w:p>
        </w:tc>
        <w:tc>
          <w:tcPr>
            <w:tcW w:type="dxa" w:w="3744"/>
          </w:tcPr>
          <w:p>
            <w:pPr>
              <w:spacing w:after="40"/>
            </w:pPr>
            <w:r/>
            <w:r>
              <w:rPr>
                <w:rFonts w:ascii="Calibri" w:hAnsi="Calibri"/>
                <w:color w:val="565656"/>
                <w:sz w:val="18"/>
              </w:rPr>
              <w:t>[CERTIFICATE NUMBER, DATE, DGMS]</w:t>
            </w:r>
          </w:p>
        </w:tc>
      </w:tr>
      <w:tr>
        <w:tc>
          <w:tcPr>
            <w:tcW w:type="dxa" w:w="4320"/>
          </w:tcPr>
          <w:p>
            <w:pPr>
              <w:spacing w:after="40"/>
            </w:pPr>
            <w:r/>
            <w:r>
              <w:rPr>
                <w:rFonts w:ascii="Calibri" w:hAnsi="Calibri"/>
                <w:color w:val="565656"/>
                <w:sz w:val="18"/>
              </w:rPr>
              <w:t>Metalliferous mine, opencast</w:t>
            </w:r>
          </w:p>
        </w:tc>
        <w:tc>
          <w:tcPr>
            <w:tcW w:type="dxa" w:w="1296"/>
          </w:tcPr>
          <w:p>
            <w:pPr>
              <w:spacing w:after="40"/>
            </w:pPr>
            <w:r/>
            <w:r>
              <w:rPr>
                <w:rFonts w:ascii="Calibri" w:hAnsi="Calibri"/>
                <w:color w:val="565656"/>
                <w:sz w:val="18"/>
              </w:rPr>
              <w:t>[YES / NO]</w:t>
            </w:r>
          </w:p>
        </w:tc>
        <w:tc>
          <w:tcPr>
            <w:tcW w:type="dxa" w:w="3744"/>
          </w:tcPr>
          <w:p>
            <w:pPr>
              <w:spacing w:after="40"/>
            </w:pPr>
            <w:r/>
            <w:r>
              <w:rPr>
                <w:rFonts w:ascii="Calibri" w:hAnsi="Calibri"/>
                <w:color w:val="565656"/>
                <w:sz w:val="18"/>
              </w:rPr>
              <w:t>[CERTIFICATE NUMBER, DATE, DGMS]</w:t>
            </w:r>
          </w:p>
        </w:tc>
      </w:tr>
      <w:tr>
        <w:tc>
          <w:tcPr>
            <w:tcW w:type="dxa" w:w="4320"/>
          </w:tcPr>
          <w:p>
            <w:pPr>
              <w:spacing w:after="40"/>
            </w:pPr>
            <w:r/>
            <w:r>
              <w:rPr>
                <w:rFonts w:ascii="Calibri" w:hAnsi="Calibri"/>
                <w:color w:val="565656"/>
                <w:sz w:val="18"/>
              </w:rPr>
              <w:t>Where more than one officer is appointed</w:t>
            </w:r>
          </w:p>
        </w:tc>
        <w:tc>
          <w:tcPr>
            <w:tcW w:type="dxa" w:w="1296"/>
          </w:tcPr>
          <w:p>
            <w:pPr>
              <w:spacing w:after="40"/>
            </w:pPr>
            <w:r/>
            <w:r>
              <w:rPr>
                <w:rFonts w:ascii="Calibri" w:hAnsi="Calibri"/>
                <w:color w:val="565656"/>
                <w:sz w:val="18"/>
              </w:rPr>
              <w:t>[YES / NO]</w:t>
            </w:r>
          </w:p>
        </w:tc>
        <w:tc>
          <w:tcPr>
            <w:tcW w:type="dxa" w:w="3744"/>
          </w:tcPr>
          <w:p>
            <w:pPr>
              <w:spacing w:after="40"/>
            </w:pPr>
            <w:r/>
            <w:r>
              <w:rPr>
                <w:rFonts w:ascii="Calibri" w:hAnsi="Calibri"/>
                <w:color w:val="565656"/>
                <w:sz w:val="18"/>
              </w:rPr>
              <w:t>[CERTIFICATE NUMBER, DATE, DGMS]</w:t>
            </w:r>
          </w:p>
        </w:tc>
      </w:tr>
      <w:tr>
        <w:tc>
          <w:tcPr>
            <w:tcW w:type="dxa" w:w="4320"/>
          </w:tcPr>
          <w:p>
            <w:pPr>
              <w:spacing w:after="40"/>
            </w:pPr>
            <w:r/>
            <w:r>
              <w:rPr>
                <w:rFonts w:ascii="Calibri" w:hAnsi="Calibri"/>
                <w:color w:val="565656"/>
                <w:sz w:val="18"/>
              </w:rPr>
              <w:t>Oil mine</w:t>
            </w:r>
          </w:p>
        </w:tc>
        <w:tc>
          <w:tcPr>
            <w:tcW w:type="dxa" w:w="1296"/>
          </w:tcPr>
          <w:p>
            <w:pPr>
              <w:spacing w:after="40"/>
            </w:pPr>
            <w:r/>
            <w:r>
              <w:rPr>
                <w:rFonts w:ascii="Calibri" w:hAnsi="Calibri"/>
                <w:color w:val="565656"/>
                <w:sz w:val="18"/>
              </w:rPr>
              <w:t>[YES / NO]</w:t>
            </w:r>
          </w:p>
        </w:tc>
        <w:tc>
          <w:tcPr>
            <w:tcW w:type="dxa" w:w="3744"/>
          </w:tcPr>
          <w:p>
            <w:pPr>
              <w:spacing w:after="40"/>
            </w:pPr>
            <w:r/>
            <w:r>
              <w:rPr>
                <w:rFonts w:ascii="Calibri" w:hAnsi="Calibri"/>
                <w:color w:val="565656"/>
                <w:sz w:val="18"/>
              </w:rPr>
              <w:t>[CERTIFICATE NUMBER, DATE, DGMS]</w:t>
            </w:r>
          </w:p>
        </w:tc>
      </w:tr>
    </w:tbl>
    <w:p>
      <w:pPr>
        <w:keepNext w:val="0"/>
        <w:spacing w:after="160" w:before="0"/>
      </w:pPr>
      <w:r>
        <w:rPr>
          <w:rFonts w:ascii="Calibri" w:hAnsi="Calibri"/>
          <w:b w:val="0"/>
          <w:i w:val="0"/>
          <w:color w:val="1D1D1D"/>
          <w:sz w:val="21"/>
        </w:rPr>
      </w:r>
    </w:p>
    <w:p>
      <w:pPr>
        <w:keepNext w:val="0"/>
        <w:spacing w:after="120" w:before="0"/>
      </w:pPr>
      <w:r>
        <w:rPr>
          <w:rFonts w:ascii="Calibri" w:hAnsi="Calibri"/>
          <w:b w:val="0"/>
          <w:i/>
          <w:color w:val="565656"/>
          <w:sz w:val="19"/>
        </w:rPr>
        <w:t>A mine safety officer holds a Certificate of Competency granted by the Directorate General of Mines Safety. An engineering degree on its own does not qualify anyone for this appointment.</w:t>
      </w:r>
    </w:p>
    <w:p>
      <w:r>
        <w:br w:type="page"/>
      </w:r>
    </w:p>
    <w:p>
      <w:pPr>
        <w:pStyle w:val="Heading1"/>
        <w:keepNext/>
        <w:spacing w:after="200" w:before="80"/>
        <w:ind w:left="115"/>
        <w:shd w:val="clear" w:fill="0069A4"/>
      </w:pPr>
      <w:r>
        <w:rPr>
          <w:rFonts w:ascii="Calibri" w:hAnsi="Calibri"/>
          <w:b/>
          <w:color w:val="FFFFFF"/>
          <w:sz w:val="20"/>
        </w:rPr>
        <w:t>FORMAT 05  ·  SAFETY OFFICER'S RECORD BOOK</w:t>
      </w:r>
    </w:p>
    <w:p>
      <w:pPr>
        <w:keepNext w:val="0"/>
        <w:spacing w:after="160" w:before="0"/>
        <w:ind w:left="144"/>
        <w:shd w:val="clear" w:fill="F4FAFE"/>
      </w:pPr>
      <w:r>
        <w:rPr>
          <w:rFonts w:ascii="Calibri" w:hAnsi="Calibri"/>
          <w:b w:val="0"/>
          <w:i/>
          <w:color w:val="565656"/>
          <w:sz w:val="18"/>
        </w:rPr>
        <w:t>Rule 19(k) requires a bound paged book, or a retrievable and non-editable electronic form. This is the page layout.</w:t>
      </w:r>
    </w:p>
    <w:p>
      <w:pPr>
        <w:keepNext w:val="0"/>
        <w:spacing w:after="40" w:before="0"/>
      </w:pPr>
      <w:r>
        <w:rPr>
          <w:rFonts w:ascii="Calibri" w:hAnsi="Calibri"/>
          <w:b/>
          <w:i w:val="0"/>
          <w:color w:val="1D1D1D"/>
          <w:sz w:val="26"/>
        </w:rPr>
        <w:t>SAFETY OFFICER'S RECORD</w:t>
      </w:r>
    </w:p>
    <w:p>
      <w:pPr>
        <w:keepNext w:val="0"/>
        <w:spacing w:after="200" w:before="0"/>
      </w:pPr>
      <w:r>
        <w:rPr>
          <w:rFonts w:ascii="Calibri" w:hAnsi="Calibri"/>
          <w:b w:val="0"/>
          <w:i w:val="0"/>
          <w:color w:val="565656"/>
          <w:sz w:val="19"/>
        </w:rPr>
        <w:t>[COMPANY NAME]  ·  Page [NUMBER]  ·  Year [YYYY]</w:t>
      </w:r>
    </w:p>
    <w:p>
      <w:pPr>
        <w:keepNext w:val="0"/>
        <w:spacing w:after="200" w:before="0"/>
      </w:pPr>
      <w:r>
        <w:rPr>
          <w:rFonts w:ascii="Calibri" w:hAnsi="Calibri"/>
          <w:b w:val="0"/>
          <w:i/>
          <w:color w:val="565656"/>
          <w:sz w:val="19"/>
        </w:rPr>
        <w:t>Rule 19(k) requires this in a bound paged book, or in a retrievable and NON-EDITABLE electronic form. A spreadsheet anyone can overwrite is neither.</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152"/>
          </w:tcPr>
          <w:p>
            <w:pPr>
              <w:spacing w:after="40"/>
              <w:shd w:val="clear" w:fill="E8F4FC"/>
            </w:pPr>
            <w:r/>
            <w:r>
              <w:rPr>
                <w:rFonts w:ascii="Calibri" w:hAnsi="Calibri"/>
                <w:b/>
                <w:color w:val="0069A4"/>
                <w:sz w:val="17"/>
              </w:rPr>
              <w:t>Date</w:t>
            </w:r>
          </w:p>
        </w:tc>
        <w:tc>
          <w:tcPr>
            <w:tcW w:type="dxa" w:w="2448"/>
          </w:tcPr>
          <w:p>
            <w:pPr>
              <w:spacing w:after="40"/>
              <w:shd w:val="clear" w:fill="E8F4FC"/>
            </w:pPr>
            <w:r/>
            <w:r>
              <w:rPr>
                <w:rFonts w:ascii="Calibri" w:hAnsi="Calibri"/>
                <w:b/>
                <w:color w:val="0069A4"/>
                <w:sz w:val="17"/>
              </w:rPr>
              <w:t>What was done</w:t>
            </w:r>
          </w:p>
        </w:tc>
        <w:tc>
          <w:tcPr>
            <w:tcW w:type="dxa" w:w="1440"/>
          </w:tcPr>
          <w:p>
            <w:pPr>
              <w:spacing w:after="40"/>
              <w:shd w:val="clear" w:fill="E8F4FC"/>
            </w:pPr>
            <w:r/>
            <w:r>
              <w:rPr>
                <w:rFonts w:ascii="Calibri" w:hAnsi="Calibri"/>
                <w:b/>
                <w:color w:val="0069A4"/>
                <w:sz w:val="17"/>
              </w:rPr>
              <w:t>Where</w:t>
            </w:r>
          </w:p>
        </w:tc>
        <w:tc>
          <w:tcPr>
            <w:tcW w:type="dxa" w:w="2736"/>
          </w:tcPr>
          <w:p>
            <w:pPr>
              <w:spacing w:after="40"/>
              <w:shd w:val="clear" w:fill="E8F4FC"/>
            </w:pPr>
            <w:r/>
            <w:r>
              <w:rPr>
                <w:rFonts w:ascii="Calibri" w:hAnsi="Calibri"/>
                <w:b/>
                <w:color w:val="0069A4"/>
                <w:sz w:val="17"/>
              </w:rPr>
              <w:t>Finding or advice given</w:t>
            </w:r>
          </w:p>
        </w:tc>
        <w:tc>
          <w:tcPr>
            <w:tcW w:type="dxa" w:w="1584"/>
          </w:tcPr>
          <w:p>
            <w:pPr>
              <w:spacing w:after="40"/>
              <w:shd w:val="clear" w:fill="E8F4FC"/>
            </w:pPr>
            <w:r/>
            <w:r>
              <w:rPr>
                <w:rFonts w:ascii="Calibri" w:hAnsi="Calibri"/>
                <w:b/>
                <w:color w:val="0069A4"/>
                <w:sz w:val="17"/>
              </w:rPr>
              <w:t>Follow-up owed</w:t>
            </w:r>
          </w:p>
        </w:tc>
      </w:tr>
      <w:tr>
        <w:tc>
          <w:tcPr>
            <w:tcW w:type="dxa" w:w="1152"/>
          </w:tcPr>
          <w:p>
            <w:pPr>
              <w:spacing w:after="40"/>
            </w:pPr>
            <w:r/>
            <w:r>
              <w:rPr>
                <w:rFonts w:ascii="Calibri" w:hAnsi="Calibri"/>
                <w:color w:val="565656"/>
                <w:sz w:val="17"/>
              </w:rPr>
            </w:r>
          </w:p>
        </w:tc>
        <w:tc>
          <w:tcPr>
            <w:tcW w:type="dxa" w:w="2448"/>
          </w:tcPr>
          <w:p>
            <w:pPr>
              <w:spacing w:after="40"/>
            </w:pPr>
            <w:r/>
            <w:r>
              <w:rPr>
                <w:rFonts w:ascii="Calibri" w:hAnsi="Calibri"/>
                <w:color w:val="565656"/>
                <w:sz w:val="17"/>
              </w:rPr>
            </w:r>
          </w:p>
        </w:tc>
        <w:tc>
          <w:tcPr>
            <w:tcW w:type="dxa" w:w="1440"/>
          </w:tcPr>
          <w:p>
            <w:pPr>
              <w:spacing w:after="40"/>
            </w:pPr>
            <w:r/>
            <w:r>
              <w:rPr>
                <w:rFonts w:ascii="Calibri" w:hAnsi="Calibri"/>
                <w:color w:val="565656"/>
                <w:sz w:val="17"/>
              </w:rPr>
            </w:r>
          </w:p>
        </w:tc>
        <w:tc>
          <w:tcPr>
            <w:tcW w:type="dxa" w:w="2736"/>
          </w:tcPr>
          <w:p>
            <w:pPr>
              <w:spacing w:after="40"/>
            </w:pPr>
            <w:r/>
            <w:r>
              <w:rPr>
                <w:rFonts w:ascii="Calibri" w:hAnsi="Calibri"/>
                <w:color w:val="565656"/>
                <w:sz w:val="17"/>
              </w:rPr>
            </w:r>
          </w:p>
        </w:tc>
        <w:tc>
          <w:tcPr>
            <w:tcW w:type="dxa" w:w="1584"/>
          </w:tcPr>
          <w:p>
            <w:pPr>
              <w:spacing w:after="40"/>
            </w:pPr>
            <w:r/>
            <w:r>
              <w:rPr>
                <w:rFonts w:ascii="Calibri" w:hAnsi="Calibri"/>
                <w:color w:val="565656"/>
                <w:sz w:val="17"/>
              </w:rPr>
            </w:r>
          </w:p>
        </w:tc>
      </w:tr>
      <w:tr>
        <w:tc>
          <w:tcPr>
            <w:tcW w:type="dxa" w:w="1152"/>
          </w:tcPr>
          <w:p>
            <w:pPr>
              <w:spacing w:after="40"/>
            </w:pPr>
            <w:r/>
            <w:r>
              <w:rPr>
                <w:rFonts w:ascii="Calibri" w:hAnsi="Calibri"/>
                <w:color w:val="565656"/>
                <w:sz w:val="17"/>
              </w:rPr>
            </w:r>
          </w:p>
        </w:tc>
        <w:tc>
          <w:tcPr>
            <w:tcW w:type="dxa" w:w="2448"/>
          </w:tcPr>
          <w:p>
            <w:pPr>
              <w:spacing w:after="40"/>
            </w:pPr>
            <w:r/>
            <w:r>
              <w:rPr>
                <w:rFonts w:ascii="Calibri" w:hAnsi="Calibri"/>
                <w:color w:val="565656"/>
                <w:sz w:val="17"/>
              </w:rPr>
            </w:r>
          </w:p>
        </w:tc>
        <w:tc>
          <w:tcPr>
            <w:tcW w:type="dxa" w:w="1440"/>
          </w:tcPr>
          <w:p>
            <w:pPr>
              <w:spacing w:after="40"/>
            </w:pPr>
            <w:r/>
            <w:r>
              <w:rPr>
                <w:rFonts w:ascii="Calibri" w:hAnsi="Calibri"/>
                <w:color w:val="565656"/>
                <w:sz w:val="17"/>
              </w:rPr>
            </w:r>
          </w:p>
        </w:tc>
        <w:tc>
          <w:tcPr>
            <w:tcW w:type="dxa" w:w="2736"/>
          </w:tcPr>
          <w:p>
            <w:pPr>
              <w:spacing w:after="40"/>
            </w:pPr>
            <w:r/>
            <w:r>
              <w:rPr>
                <w:rFonts w:ascii="Calibri" w:hAnsi="Calibri"/>
                <w:color w:val="565656"/>
                <w:sz w:val="17"/>
              </w:rPr>
            </w:r>
          </w:p>
        </w:tc>
        <w:tc>
          <w:tcPr>
            <w:tcW w:type="dxa" w:w="1584"/>
          </w:tcPr>
          <w:p>
            <w:pPr>
              <w:spacing w:after="40"/>
            </w:pPr>
            <w:r/>
            <w:r>
              <w:rPr>
                <w:rFonts w:ascii="Calibri" w:hAnsi="Calibri"/>
                <w:color w:val="565656"/>
                <w:sz w:val="17"/>
              </w:rPr>
            </w:r>
          </w:p>
        </w:tc>
      </w:tr>
      <w:tr>
        <w:tc>
          <w:tcPr>
            <w:tcW w:type="dxa" w:w="1152"/>
          </w:tcPr>
          <w:p>
            <w:pPr>
              <w:spacing w:after="40"/>
            </w:pPr>
            <w:r/>
            <w:r>
              <w:rPr>
                <w:rFonts w:ascii="Calibri" w:hAnsi="Calibri"/>
                <w:color w:val="565656"/>
                <w:sz w:val="17"/>
              </w:rPr>
            </w:r>
          </w:p>
        </w:tc>
        <w:tc>
          <w:tcPr>
            <w:tcW w:type="dxa" w:w="2448"/>
          </w:tcPr>
          <w:p>
            <w:pPr>
              <w:spacing w:after="40"/>
            </w:pPr>
            <w:r/>
            <w:r>
              <w:rPr>
                <w:rFonts w:ascii="Calibri" w:hAnsi="Calibri"/>
                <w:color w:val="565656"/>
                <w:sz w:val="17"/>
              </w:rPr>
            </w:r>
          </w:p>
        </w:tc>
        <w:tc>
          <w:tcPr>
            <w:tcW w:type="dxa" w:w="1440"/>
          </w:tcPr>
          <w:p>
            <w:pPr>
              <w:spacing w:after="40"/>
            </w:pPr>
            <w:r/>
            <w:r>
              <w:rPr>
                <w:rFonts w:ascii="Calibri" w:hAnsi="Calibri"/>
                <w:color w:val="565656"/>
                <w:sz w:val="17"/>
              </w:rPr>
            </w:r>
          </w:p>
        </w:tc>
        <w:tc>
          <w:tcPr>
            <w:tcW w:type="dxa" w:w="2736"/>
          </w:tcPr>
          <w:p>
            <w:pPr>
              <w:spacing w:after="40"/>
            </w:pPr>
            <w:r/>
            <w:r>
              <w:rPr>
                <w:rFonts w:ascii="Calibri" w:hAnsi="Calibri"/>
                <w:color w:val="565656"/>
                <w:sz w:val="17"/>
              </w:rPr>
            </w:r>
          </w:p>
        </w:tc>
        <w:tc>
          <w:tcPr>
            <w:tcW w:type="dxa" w:w="1584"/>
          </w:tcPr>
          <w:p>
            <w:pPr>
              <w:spacing w:after="40"/>
            </w:pPr>
            <w:r/>
            <w:r>
              <w:rPr>
                <w:rFonts w:ascii="Calibri" w:hAnsi="Calibri"/>
                <w:color w:val="565656"/>
                <w:sz w:val="17"/>
              </w:rPr>
            </w:r>
          </w:p>
        </w:tc>
      </w:tr>
      <w:tr>
        <w:tc>
          <w:tcPr>
            <w:tcW w:type="dxa" w:w="1152"/>
          </w:tcPr>
          <w:p>
            <w:pPr>
              <w:spacing w:after="40"/>
            </w:pPr>
            <w:r/>
            <w:r>
              <w:rPr>
                <w:rFonts w:ascii="Calibri" w:hAnsi="Calibri"/>
                <w:color w:val="565656"/>
                <w:sz w:val="17"/>
              </w:rPr>
            </w:r>
          </w:p>
        </w:tc>
        <w:tc>
          <w:tcPr>
            <w:tcW w:type="dxa" w:w="2448"/>
          </w:tcPr>
          <w:p>
            <w:pPr>
              <w:spacing w:after="40"/>
            </w:pPr>
            <w:r/>
            <w:r>
              <w:rPr>
                <w:rFonts w:ascii="Calibri" w:hAnsi="Calibri"/>
                <w:color w:val="565656"/>
                <w:sz w:val="17"/>
              </w:rPr>
            </w:r>
          </w:p>
        </w:tc>
        <w:tc>
          <w:tcPr>
            <w:tcW w:type="dxa" w:w="1440"/>
          </w:tcPr>
          <w:p>
            <w:pPr>
              <w:spacing w:after="40"/>
            </w:pPr>
            <w:r/>
            <w:r>
              <w:rPr>
                <w:rFonts w:ascii="Calibri" w:hAnsi="Calibri"/>
                <w:color w:val="565656"/>
                <w:sz w:val="17"/>
              </w:rPr>
            </w:r>
          </w:p>
        </w:tc>
        <w:tc>
          <w:tcPr>
            <w:tcW w:type="dxa" w:w="2736"/>
          </w:tcPr>
          <w:p>
            <w:pPr>
              <w:spacing w:after="40"/>
            </w:pPr>
            <w:r/>
            <w:r>
              <w:rPr>
                <w:rFonts w:ascii="Calibri" w:hAnsi="Calibri"/>
                <w:color w:val="565656"/>
                <w:sz w:val="17"/>
              </w:rPr>
            </w:r>
          </w:p>
        </w:tc>
        <w:tc>
          <w:tcPr>
            <w:tcW w:type="dxa" w:w="1584"/>
          </w:tcPr>
          <w:p>
            <w:pPr>
              <w:spacing w:after="40"/>
            </w:pPr>
            <w:r/>
            <w:r>
              <w:rPr>
                <w:rFonts w:ascii="Calibri" w:hAnsi="Calibri"/>
                <w:color w:val="565656"/>
                <w:sz w:val="17"/>
              </w:rPr>
            </w:r>
          </w:p>
        </w:tc>
      </w:tr>
      <w:tr>
        <w:tc>
          <w:tcPr>
            <w:tcW w:type="dxa" w:w="1152"/>
          </w:tcPr>
          <w:p>
            <w:pPr>
              <w:spacing w:after="40"/>
            </w:pPr>
            <w:r/>
            <w:r>
              <w:rPr>
                <w:rFonts w:ascii="Calibri" w:hAnsi="Calibri"/>
                <w:color w:val="565656"/>
                <w:sz w:val="17"/>
              </w:rPr>
            </w:r>
          </w:p>
        </w:tc>
        <w:tc>
          <w:tcPr>
            <w:tcW w:type="dxa" w:w="2448"/>
          </w:tcPr>
          <w:p>
            <w:pPr>
              <w:spacing w:after="40"/>
            </w:pPr>
            <w:r/>
            <w:r>
              <w:rPr>
                <w:rFonts w:ascii="Calibri" w:hAnsi="Calibri"/>
                <w:color w:val="565656"/>
                <w:sz w:val="17"/>
              </w:rPr>
            </w:r>
          </w:p>
        </w:tc>
        <w:tc>
          <w:tcPr>
            <w:tcW w:type="dxa" w:w="1440"/>
          </w:tcPr>
          <w:p>
            <w:pPr>
              <w:spacing w:after="40"/>
            </w:pPr>
            <w:r/>
            <w:r>
              <w:rPr>
                <w:rFonts w:ascii="Calibri" w:hAnsi="Calibri"/>
                <w:color w:val="565656"/>
                <w:sz w:val="17"/>
              </w:rPr>
            </w:r>
          </w:p>
        </w:tc>
        <w:tc>
          <w:tcPr>
            <w:tcW w:type="dxa" w:w="2736"/>
          </w:tcPr>
          <w:p>
            <w:pPr>
              <w:spacing w:after="40"/>
            </w:pPr>
            <w:r/>
            <w:r>
              <w:rPr>
                <w:rFonts w:ascii="Calibri" w:hAnsi="Calibri"/>
                <w:color w:val="565656"/>
                <w:sz w:val="17"/>
              </w:rPr>
            </w:r>
          </w:p>
        </w:tc>
        <w:tc>
          <w:tcPr>
            <w:tcW w:type="dxa" w:w="1584"/>
          </w:tcPr>
          <w:p>
            <w:pPr>
              <w:spacing w:after="40"/>
            </w:pPr>
            <w:r/>
            <w:r>
              <w:rPr>
                <w:rFonts w:ascii="Calibri" w:hAnsi="Calibri"/>
                <w:color w:val="565656"/>
                <w:sz w:val="17"/>
              </w:rPr>
            </w:r>
          </w:p>
        </w:tc>
      </w:tr>
      <w:tr>
        <w:tc>
          <w:tcPr>
            <w:tcW w:type="dxa" w:w="1152"/>
          </w:tcPr>
          <w:p>
            <w:pPr>
              <w:spacing w:after="40"/>
            </w:pPr>
            <w:r/>
            <w:r>
              <w:rPr>
                <w:rFonts w:ascii="Calibri" w:hAnsi="Calibri"/>
                <w:color w:val="565656"/>
                <w:sz w:val="17"/>
              </w:rPr>
            </w:r>
          </w:p>
        </w:tc>
        <w:tc>
          <w:tcPr>
            <w:tcW w:type="dxa" w:w="2448"/>
          </w:tcPr>
          <w:p>
            <w:pPr>
              <w:spacing w:after="40"/>
            </w:pPr>
            <w:r/>
            <w:r>
              <w:rPr>
                <w:rFonts w:ascii="Calibri" w:hAnsi="Calibri"/>
                <w:color w:val="565656"/>
                <w:sz w:val="17"/>
              </w:rPr>
            </w:r>
          </w:p>
        </w:tc>
        <w:tc>
          <w:tcPr>
            <w:tcW w:type="dxa" w:w="1440"/>
          </w:tcPr>
          <w:p>
            <w:pPr>
              <w:spacing w:after="40"/>
            </w:pPr>
            <w:r/>
            <w:r>
              <w:rPr>
                <w:rFonts w:ascii="Calibri" w:hAnsi="Calibri"/>
                <w:color w:val="565656"/>
                <w:sz w:val="17"/>
              </w:rPr>
            </w:r>
          </w:p>
        </w:tc>
        <w:tc>
          <w:tcPr>
            <w:tcW w:type="dxa" w:w="2736"/>
          </w:tcPr>
          <w:p>
            <w:pPr>
              <w:spacing w:after="40"/>
            </w:pPr>
            <w:r/>
            <w:r>
              <w:rPr>
                <w:rFonts w:ascii="Calibri" w:hAnsi="Calibri"/>
                <w:color w:val="565656"/>
                <w:sz w:val="17"/>
              </w:rPr>
            </w:r>
          </w:p>
        </w:tc>
        <w:tc>
          <w:tcPr>
            <w:tcW w:type="dxa" w:w="1584"/>
          </w:tcPr>
          <w:p>
            <w:pPr>
              <w:spacing w:after="40"/>
            </w:pPr>
            <w:r/>
            <w:r>
              <w:rPr>
                <w:rFonts w:ascii="Calibri" w:hAnsi="Calibri"/>
                <w:color w:val="565656"/>
                <w:sz w:val="17"/>
              </w:rPr>
            </w:r>
          </w:p>
        </w:tc>
      </w:tr>
      <w:tr>
        <w:tc>
          <w:tcPr>
            <w:tcW w:type="dxa" w:w="1152"/>
          </w:tcPr>
          <w:p>
            <w:pPr>
              <w:spacing w:after="40"/>
            </w:pPr>
            <w:r/>
            <w:r>
              <w:rPr>
                <w:rFonts w:ascii="Calibri" w:hAnsi="Calibri"/>
                <w:color w:val="565656"/>
                <w:sz w:val="17"/>
              </w:rPr>
            </w:r>
          </w:p>
        </w:tc>
        <w:tc>
          <w:tcPr>
            <w:tcW w:type="dxa" w:w="2448"/>
          </w:tcPr>
          <w:p>
            <w:pPr>
              <w:spacing w:after="40"/>
            </w:pPr>
            <w:r/>
            <w:r>
              <w:rPr>
                <w:rFonts w:ascii="Calibri" w:hAnsi="Calibri"/>
                <w:color w:val="565656"/>
                <w:sz w:val="17"/>
              </w:rPr>
            </w:r>
          </w:p>
        </w:tc>
        <w:tc>
          <w:tcPr>
            <w:tcW w:type="dxa" w:w="1440"/>
          </w:tcPr>
          <w:p>
            <w:pPr>
              <w:spacing w:after="40"/>
            </w:pPr>
            <w:r/>
            <w:r>
              <w:rPr>
                <w:rFonts w:ascii="Calibri" w:hAnsi="Calibri"/>
                <w:color w:val="565656"/>
                <w:sz w:val="17"/>
              </w:rPr>
            </w:r>
          </w:p>
        </w:tc>
        <w:tc>
          <w:tcPr>
            <w:tcW w:type="dxa" w:w="2736"/>
          </w:tcPr>
          <w:p>
            <w:pPr>
              <w:spacing w:after="40"/>
            </w:pPr>
            <w:r/>
            <w:r>
              <w:rPr>
                <w:rFonts w:ascii="Calibri" w:hAnsi="Calibri"/>
                <w:color w:val="565656"/>
                <w:sz w:val="17"/>
              </w:rPr>
            </w:r>
          </w:p>
        </w:tc>
        <w:tc>
          <w:tcPr>
            <w:tcW w:type="dxa" w:w="1584"/>
          </w:tcPr>
          <w:p>
            <w:pPr>
              <w:spacing w:after="40"/>
            </w:pPr>
            <w:r/>
            <w:r>
              <w:rPr>
                <w:rFonts w:ascii="Calibri" w:hAnsi="Calibri"/>
                <w:color w:val="565656"/>
                <w:sz w:val="17"/>
              </w:rPr>
            </w:r>
          </w:p>
        </w:tc>
      </w:tr>
      <w:tr>
        <w:tc>
          <w:tcPr>
            <w:tcW w:type="dxa" w:w="1152"/>
          </w:tcPr>
          <w:p>
            <w:pPr>
              <w:spacing w:after="40"/>
            </w:pPr>
            <w:r/>
            <w:r>
              <w:rPr>
                <w:rFonts w:ascii="Calibri" w:hAnsi="Calibri"/>
                <w:color w:val="565656"/>
                <w:sz w:val="17"/>
              </w:rPr>
            </w:r>
          </w:p>
        </w:tc>
        <w:tc>
          <w:tcPr>
            <w:tcW w:type="dxa" w:w="2448"/>
          </w:tcPr>
          <w:p>
            <w:pPr>
              <w:spacing w:after="40"/>
            </w:pPr>
            <w:r/>
            <w:r>
              <w:rPr>
                <w:rFonts w:ascii="Calibri" w:hAnsi="Calibri"/>
                <w:color w:val="565656"/>
                <w:sz w:val="17"/>
              </w:rPr>
            </w:r>
          </w:p>
        </w:tc>
        <w:tc>
          <w:tcPr>
            <w:tcW w:type="dxa" w:w="1440"/>
          </w:tcPr>
          <w:p>
            <w:pPr>
              <w:spacing w:after="40"/>
            </w:pPr>
            <w:r/>
            <w:r>
              <w:rPr>
                <w:rFonts w:ascii="Calibri" w:hAnsi="Calibri"/>
                <w:color w:val="565656"/>
                <w:sz w:val="17"/>
              </w:rPr>
            </w:r>
          </w:p>
        </w:tc>
        <w:tc>
          <w:tcPr>
            <w:tcW w:type="dxa" w:w="2736"/>
          </w:tcPr>
          <w:p>
            <w:pPr>
              <w:spacing w:after="40"/>
            </w:pPr>
            <w:r/>
            <w:r>
              <w:rPr>
                <w:rFonts w:ascii="Calibri" w:hAnsi="Calibri"/>
                <w:color w:val="565656"/>
                <w:sz w:val="17"/>
              </w:rPr>
            </w:r>
          </w:p>
        </w:tc>
        <w:tc>
          <w:tcPr>
            <w:tcW w:type="dxa" w:w="1584"/>
          </w:tcPr>
          <w:p>
            <w:pPr>
              <w:spacing w:after="40"/>
            </w:pPr>
            <w:r/>
            <w:r>
              <w:rPr>
                <w:rFonts w:ascii="Calibri" w:hAnsi="Calibri"/>
                <w:color w:val="565656"/>
                <w:sz w:val="17"/>
              </w:rPr>
            </w:r>
          </w:p>
        </w:tc>
      </w:tr>
      <w:tr>
        <w:tc>
          <w:tcPr>
            <w:tcW w:type="dxa" w:w="1152"/>
          </w:tcPr>
          <w:p>
            <w:pPr>
              <w:spacing w:after="40"/>
            </w:pPr>
            <w:r/>
            <w:r>
              <w:rPr>
                <w:rFonts w:ascii="Calibri" w:hAnsi="Calibri"/>
                <w:color w:val="565656"/>
                <w:sz w:val="17"/>
              </w:rPr>
            </w:r>
          </w:p>
        </w:tc>
        <w:tc>
          <w:tcPr>
            <w:tcW w:type="dxa" w:w="2448"/>
          </w:tcPr>
          <w:p>
            <w:pPr>
              <w:spacing w:after="40"/>
            </w:pPr>
            <w:r/>
            <w:r>
              <w:rPr>
                <w:rFonts w:ascii="Calibri" w:hAnsi="Calibri"/>
                <w:color w:val="565656"/>
                <w:sz w:val="17"/>
              </w:rPr>
            </w:r>
          </w:p>
        </w:tc>
        <w:tc>
          <w:tcPr>
            <w:tcW w:type="dxa" w:w="1440"/>
          </w:tcPr>
          <w:p>
            <w:pPr>
              <w:spacing w:after="40"/>
            </w:pPr>
            <w:r/>
            <w:r>
              <w:rPr>
                <w:rFonts w:ascii="Calibri" w:hAnsi="Calibri"/>
                <w:color w:val="565656"/>
                <w:sz w:val="17"/>
              </w:rPr>
            </w:r>
          </w:p>
        </w:tc>
        <w:tc>
          <w:tcPr>
            <w:tcW w:type="dxa" w:w="2736"/>
          </w:tcPr>
          <w:p>
            <w:pPr>
              <w:spacing w:after="40"/>
            </w:pPr>
            <w:r/>
            <w:r>
              <w:rPr>
                <w:rFonts w:ascii="Calibri" w:hAnsi="Calibri"/>
                <w:color w:val="565656"/>
                <w:sz w:val="17"/>
              </w:rPr>
            </w:r>
          </w:p>
        </w:tc>
        <w:tc>
          <w:tcPr>
            <w:tcW w:type="dxa" w:w="1584"/>
          </w:tcPr>
          <w:p>
            <w:pPr>
              <w:spacing w:after="40"/>
            </w:pPr>
            <w:r/>
            <w:r>
              <w:rPr>
                <w:rFonts w:ascii="Calibri" w:hAnsi="Calibri"/>
                <w:color w:val="565656"/>
                <w:sz w:val="17"/>
              </w:rPr>
            </w:r>
          </w:p>
        </w:tc>
      </w:tr>
      <w:tr>
        <w:tc>
          <w:tcPr>
            <w:tcW w:type="dxa" w:w="1152"/>
          </w:tcPr>
          <w:p>
            <w:pPr>
              <w:spacing w:after="40"/>
            </w:pPr>
            <w:r/>
            <w:r>
              <w:rPr>
                <w:rFonts w:ascii="Calibri" w:hAnsi="Calibri"/>
                <w:color w:val="565656"/>
                <w:sz w:val="17"/>
              </w:rPr>
            </w:r>
          </w:p>
        </w:tc>
        <w:tc>
          <w:tcPr>
            <w:tcW w:type="dxa" w:w="2448"/>
          </w:tcPr>
          <w:p>
            <w:pPr>
              <w:spacing w:after="40"/>
            </w:pPr>
            <w:r/>
            <w:r>
              <w:rPr>
                <w:rFonts w:ascii="Calibri" w:hAnsi="Calibri"/>
                <w:color w:val="565656"/>
                <w:sz w:val="17"/>
              </w:rPr>
            </w:r>
          </w:p>
        </w:tc>
        <w:tc>
          <w:tcPr>
            <w:tcW w:type="dxa" w:w="1440"/>
          </w:tcPr>
          <w:p>
            <w:pPr>
              <w:spacing w:after="40"/>
            </w:pPr>
            <w:r/>
            <w:r>
              <w:rPr>
                <w:rFonts w:ascii="Calibri" w:hAnsi="Calibri"/>
                <w:color w:val="565656"/>
                <w:sz w:val="17"/>
              </w:rPr>
            </w:r>
          </w:p>
        </w:tc>
        <w:tc>
          <w:tcPr>
            <w:tcW w:type="dxa" w:w="2736"/>
          </w:tcPr>
          <w:p>
            <w:pPr>
              <w:spacing w:after="40"/>
            </w:pPr>
            <w:r/>
            <w:r>
              <w:rPr>
                <w:rFonts w:ascii="Calibri" w:hAnsi="Calibri"/>
                <w:color w:val="565656"/>
                <w:sz w:val="17"/>
              </w:rPr>
            </w:r>
          </w:p>
        </w:tc>
        <w:tc>
          <w:tcPr>
            <w:tcW w:type="dxa" w:w="1584"/>
          </w:tcPr>
          <w:p>
            <w:pPr>
              <w:spacing w:after="40"/>
            </w:pPr>
            <w:r/>
            <w:r>
              <w:rPr>
                <w:rFonts w:ascii="Calibri" w:hAnsi="Calibri"/>
                <w:color w:val="565656"/>
                <w:sz w:val="17"/>
              </w:rPr>
            </w:r>
          </w:p>
        </w:tc>
      </w:tr>
    </w:tbl>
    <w:p>
      <w:pPr>
        <w:keepNext w:val="0"/>
        <w:spacing w:after="160" w:before="0"/>
      </w:pPr>
      <w:r>
        <w:rPr>
          <w:rFonts w:ascii="Calibri" w:hAnsi="Calibri"/>
          <w:b w:val="0"/>
          <w:i w:val="0"/>
          <w:color w:val="1D1D1D"/>
          <w:sz w:val="21"/>
        </w:rPr>
      </w:r>
    </w:p>
    <w:p>
      <w:r>
        <w:br w:type="page"/>
      </w:r>
    </w:p>
    <w:p>
      <w:pPr>
        <w:pStyle w:val="Heading1"/>
        <w:keepNext/>
        <w:spacing w:after="200" w:before="80"/>
        <w:ind w:left="115"/>
        <w:shd w:val="clear" w:fill="0069A4"/>
      </w:pPr>
      <w:r>
        <w:rPr>
          <w:rFonts w:ascii="Calibri" w:hAnsi="Calibri"/>
          <w:b/>
          <w:color w:val="FFFFFF"/>
          <w:sz w:val="20"/>
        </w:rPr>
        <w:t>FORMAT 06  ·  RESOLUTION CONSTITUTING THE SAFETY COMMITTEE</w:t>
      </w:r>
    </w:p>
    <w:p>
      <w:pPr>
        <w:keepNext w:val="0"/>
        <w:spacing w:after="160" w:before="0"/>
        <w:ind w:left="144"/>
        <w:shd w:val="clear" w:fill="F4FAFE"/>
      </w:pPr>
      <w:r>
        <w:rPr>
          <w:rFonts w:ascii="Calibri" w:hAnsi="Calibri"/>
          <w:b w:val="0"/>
          <w:i/>
          <w:color w:val="565656"/>
          <w:sz w:val="18"/>
        </w:rPr>
        <w:t>The minute that creates it, with the equal numbers, the twenty cap and the three year tenure on the record.</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200" w:before="0"/>
      </w:pPr>
      <w:r>
        <w:rPr>
          <w:rFonts w:ascii="Calibri" w:hAnsi="Calibri"/>
          <w:b/>
          <w:i w:val="0"/>
          <w:color w:val="1D1D1D"/>
          <w:sz w:val="20"/>
        </w:rPr>
        <w:t>EXTRACT FROM THE MINUTES OF THE MEETING OF [THE BOARD OF DIRECTORS / THE MANAGEMENT COMMITTEE] OF [COMPANY NAME] HELD ON [DD-MMM-YYYY]</w:t>
      </w:r>
    </w:p>
    <w:p>
      <w:pPr>
        <w:keepNext w:val="0"/>
        <w:spacing w:after="120" w:before="0"/>
      </w:pPr>
      <w:r>
        <w:rPr>
          <w:rFonts w:ascii="Calibri" w:hAnsi="Calibri"/>
          <w:b w:val="0"/>
          <w:i w:val="0"/>
          <w:color w:val="1D1D1D"/>
          <w:sz w:val="20"/>
        </w:rPr>
        <w:t>The meeting noted that [NUMBER] workers are ordinarily employed in the establishment, counted as on [DD-MMM-YYYY], and that rule 14(1) of the OSH (Central) Rules, 2026 therefore requires a Safety Committee to be constituted.</w:t>
      </w:r>
    </w:p>
    <w:p>
      <w:pPr>
        <w:keepNext w:val="0"/>
        <w:spacing w:after="120" w:before="0"/>
      </w:pPr>
      <w:r>
        <w:rPr>
          <w:rFonts w:ascii="Calibri" w:hAnsi="Calibri"/>
          <w:b w:val="0"/>
          <w:i w:val="0"/>
          <w:color w:val="1D1D1D"/>
          <w:sz w:val="20"/>
        </w:rPr>
        <w:t>RESOLVED that a Safety Committee be and is hereby constituted with effect from [DD-MMM-YYYY], consisting of [NUMBER] members in all, being [NUMBER] representatives of the employer and an equal number of representatives of the workers, the total not exceeding twenty.</w:t>
      </w:r>
    </w:p>
    <w:p>
      <w:pPr>
        <w:keepNext w:val="0"/>
        <w:spacing w:after="120" w:before="0"/>
      </w:pPr>
      <w:r>
        <w:rPr>
          <w:rFonts w:ascii="Calibri" w:hAnsi="Calibri"/>
          <w:b w:val="0"/>
          <w:i w:val="0"/>
          <w:color w:val="1D1D1D"/>
          <w:sz w:val="20"/>
        </w:rPr>
        <w:t>RESOLVED FURTHER that [NAME], [DESIGNATION], being a senior official who by position can contribute effectively to the functioning of the Committee, be the Chairperson.</w:t>
      </w:r>
    </w:p>
    <w:p>
      <w:pPr>
        <w:keepNext w:val="0"/>
        <w:spacing w:after="120" w:before="0"/>
      </w:pPr>
      <w:r>
        <w:rPr>
          <w:rFonts w:ascii="Calibri" w:hAnsi="Calibri"/>
          <w:b w:val="0"/>
          <w:i w:val="0"/>
          <w:color w:val="1D1D1D"/>
          <w:sz w:val="20"/>
        </w:rPr>
        <w:t>RESOLVED FURTHER that [NAME], Safety Officer, be the Secretary of the Committee, and that [NAME], qualified medical practitioner, be a member.</w:t>
      </w:r>
    </w:p>
    <w:p>
      <w:pPr>
        <w:keepNext w:val="0"/>
        <w:spacing w:after="120" w:before="0"/>
      </w:pPr>
      <w:r>
        <w:rPr>
          <w:rFonts w:ascii="Calibri" w:hAnsi="Calibri"/>
          <w:b w:val="0"/>
          <w:i w:val="0"/>
          <w:color w:val="1D1D1D"/>
          <w:sz w:val="20"/>
        </w:rPr>
        <w:t>RESOLVED FURTHER that one representative each from the production, maintenance and purchase departments be members, namely [NAMES].</w:t>
      </w:r>
    </w:p>
    <w:p>
      <w:pPr>
        <w:keepNext w:val="0"/>
        <w:spacing w:after="120" w:before="0"/>
      </w:pPr>
      <w:r>
        <w:rPr>
          <w:rFonts w:ascii="Calibri" w:hAnsi="Calibri"/>
          <w:b w:val="0"/>
          <w:i w:val="0"/>
          <w:color w:val="1D1D1D"/>
          <w:sz w:val="20"/>
        </w:rPr>
        <w:t>RESOLVED FURTHER that the worker representatives be [chosen by the sole negotiating union / nominated by the trade unions on the negotiating council in proportion to their membership / chosen by the workers from amongst themselves on [DD-MMM-YYYY]].</w:t>
      </w:r>
    </w:p>
    <w:p>
      <w:pPr>
        <w:keepNext w:val="0"/>
        <w:spacing w:after="120" w:before="0"/>
      </w:pPr>
      <w:r>
        <w:rPr>
          <w:rFonts w:ascii="Calibri" w:hAnsi="Calibri"/>
          <w:b w:val="0"/>
          <w:i w:val="0"/>
          <w:color w:val="1D1D1D"/>
          <w:sz w:val="20"/>
        </w:rPr>
        <w:t>RESOLVED FURTHER that, the workers having chosen their representatives from amongst themselves, the meeting records that [NUMBER] of the [NUMBER] workers employed are women, being [PERCENTAGE] per cent, and that [NUMBER] of the [NUMBER] worker representatives are women, so that the representation of women is not less than their proportion of the workforce, as the second proviso to rule 15(4)(b) requires. [Delete this resolution where the representatives were nominated by a union or a negotiating council.]</w:t>
      </w:r>
    </w:p>
    <w:p>
      <w:pPr>
        <w:keepNext w:val="0"/>
        <w:spacing w:after="120" w:before="0"/>
      </w:pPr>
      <w:r>
        <w:rPr>
          <w:rFonts w:ascii="Calibri" w:hAnsi="Calibri"/>
          <w:b w:val="0"/>
          <w:i w:val="0"/>
          <w:color w:val="1D1D1D"/>
          <w:sz w:val="20"/>
        </w:rPr>
        <w:t>RESOLVED FURTHER that the members hold office for three years from [DD-MMM-YYYY], that the Committee meet at least once every quarter, and that the recommendations of the Committee be acted upon within fifteen days of their receipt.</w:t>
      </w:r>
    </w:p>
    <w:p>
      <w:pPr>
        <w:keepNext w:val="0"/>
        <w:spacing w:after="120" w:before="0"/>
      </w:pPr>
      <w:r>
        <w:rPr>
          <w:rFonts w:ascii="Calibri" w:hAnsi="Calibri"/>
          <w:b w:val="0"/>
          <w:i w:val="0"/>
          <w:color w:val="1D1D1D"/>
          <w:sz w:val="21"/>
        </w:rPr>
      </w:r>
    </w:p>
    <w:p>
      <w:pPr>
        <w:keepNext w:val="0"/>
        <w:spacing w:after="32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r>
        <w:br w:type="page"/>
      </w:r>
    </w:p>
    <w:p>
      <w:pPr>
        <w:pStyle w:val="Heading1"/>
        <w:keepNext/>
        <w:spacing w:after="200" w:before="80"/>
        <w:ind w:left="115"/>
        <w:shd w:val="clear" w:fill="0069A4"/>
      </w:pPr>
      <w:r>
        <w:rPr>
          <w:rFonts w:ascii="Calibri" w:hAnsi="Calibri"/>
          <w:b/>
          <w:color w:val="FFFFFF"/>
          <w:sz w:val="20"/>
        </w:rPr>
        <w:t>FORMAT 07  ·  NOTICE TO WORKERS ANNOUNCING THE COMMITTEE</w:t>
      </w:r>
    </w:p>
    <w:p>
      <w:pPr>
        <w:keepNext w:val="0"/>
        <w:spacing w:after="160" w:before="0"/>
        <w:ind w:left="144"/>
        <w:shd w:val="clear" w:fill="F4FAFE"/>
      </w:pPr>
      <w:r>
        <w:rPr>
          <w:rFonts w:ascii="Calibri" w:hAnsi="Calibri"/>
          <w:b w:val="0"/>
          <w:i/>
          <w:color w:val="565656"/>
          <w:sz w:val="18"/>
        </w:rPr>
        <w:t>For the notice board. A committee nobody has been told about receives nothing to consider.</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160" w:before="0"/>
      </w:pPr>
      <w:r>
        <w:rPr>
          <w:rFonts w:ascii="Calibri" w:hAnsi="Calibri"/>
          <w:b/>
          <w:i w:val="0"/>
          <w:color w:val="1D1D1D"/>
          <w:sz w:val="24"/>
        </w:rPr>
        <w:t>NOTICE  ·  SAFETY COMMITTEE</w:t>
      </w:r>
    </w:p>
    <w:p>
      <w:pPr>
        <w:keepNext w:val="0"/>
        <w:spacing w:after="120" w:before="0"/>
      </w:pPr>
      <w:r>
        <w:rPr>
          <w:rFonts w:ascii="Calibri" w:hAnsi="Calibri"/>
          <w:b w:val="0"/>
          <w:i w:val="0"/>
          <w:color w:val="1D1D1D"/>
          <w:sz w:val="20"/>
        </w:rPr>
        <w:t>A Safety Committee has been constituted for this establishment with effect from [DD-MMM-YYYY], under section 22(1) of the OSH Code, 2020 and rule 14 of the OSH (Central) Rules, 2026.</w:t>
      </w:r>
    </w:p>
    <w:p>
      <w:pPr>
        <w:keepNext w:val="0"/>
        <w:spacing w:after="120" w:before="0"/>
      </w:pPr>
      <w:r>
        <w:rPr>
          <w:rFonts w:ascii="Calibri" w:hAnsi="Calibri"/>
          <w:b w:val="0"/>
          <w:i w:val="0"/>
          <w:color w:val="1D1D1D"/>
          <w:sz w:val="20"/>
        </w:rPr>
        <w:t>The Committee meets at least once every quarter. Its job is to consider the safety and health hazards of this workplace and to recommend what should be done about them.</w:t>
      </w:r>
    </w:p>
    <w:p>
      <w:pPr>
        <w:keepNext w:val="0"/>
        <w:spacing w:after="120" w:before="0"/>
      </w:pPr>
      <w:r>
        <w:rPr>
          <w:rFonts w:ascii="Calibri" w:hAnsi="Calibri"/>
          <w:b w:val="0"/>
          <w:i w:val="0"/>
          <w:color w:val="1D1D1D"/>
          <w:sz w:val="20"/>
        </w:rPr>
        <w:t>Any worker may raise a safety or health concern with any member of the Committee, or with the Safety Officer named below. Raising one in good faith will not count against you.</w:t>
      </w:r>
    </w:p>
    <w:p>
      <w:pPr>
        <w:keepNext w:val="0"/>
        <w:spacing w:after="120" w:before="0"/>
      </w:pPr>
      <w:r>
        <w:rPr>
          <w:rFonts w:ascii="Calibri" w:hAnsi="Calibri"/>
          <w:b w:val="0"/>
          <w:i w:val="0"/>
          <w:color w:val="1D1D1D"/>
          <w:sz w:val="20"/>
        </w:rPr>
        <w:t>The Committee is told, as a matter of course, about the hazards workers may be exposed to here and about accident data and the results of monitoring the working environment.</w:t>
      </w:r>
    </w:p>
    <w:p>
      <w:pPr>
        <w:keepNext w:val="0"/>
        <w:spacing w:after="80" w:before="0"/>
      </w:pPr>
      <w:r>
        <w:rPr>
          <w:rFonts w:ascii="Calibri" w:hAnsi="Calibri"/>
          <w:b w:val="0"/>
          <w:i w:val="0"/>
          <w:color w:val="1D1D1D"/>
          <w:sz w:val="21"/>
        </w:rPr>
      </w:r>
    </w:p>
    <w:tbl>
      <w:tblPr>
        <w:tblStyle w:val="TableGrid"/>
        <w:tblW w:type="auto" w:w="0"/>
        <w:tblLook w:firstColumn="1" w:firstRow="1" w:lastColumn="0" w:lastRow="0" w:noHBand="0" w:noVBand="1" w:val="04A0"/>
      </w:tblPr>
      <w:tblGrid>
        <w:gridCol w:w="3216"/>
        <w:gridCol w:w="3216"/>
        <w:gridCol w:w="3216"/>
      </w:tblGrid>
      <w:tr>
        <w:tc>
          <w:tcPr>
            <w:tcW w:type="dxa" w:w="3312"/>
          </w:tcPr>
          <w:p>
            <w:pPr>
              <w:spacing w:after="40"/>
              <w:shd w:val="clear" w:fill="E8F4FC"/>
            </w:pPr>
            <w:r/>
            <w:r>
              <w:rPr>
                <w:rFonts w:ascii="Calibri" w:hAnsi="Calibri"/>
                <w:b/>
                <w:color w:val="0069A4"/>
                <w:sz w:val="18"/>
              </w:rPr>
              <w:t>Name</w:t>
            </w:r>
          </w:p>
        </w:tc>
        <w:tc>
          <w:tcPr>
            <w:tcW w:type="dxa" w:w="3312"/>
          </w:tcPr>
          <w:p>
            <w:pPr>
              <w:spacing w:after="40"/>
              <w:shd w:val="clear" w:fill="E8F4FC"/>
            </w:pPr>
            <w:r/>
            <w:r>
              <w:rPr>
                <w:rFonts w:ascii="Calibri" w:hAnsi="Calibri"/>
                <w:b/>
                <w:color w:val="0069A4"/>
                <w:sz w:val="18"/>
              </w:rPr>
              <w:t>Designation</w:t>
            </w:r>
          </w:p>
        </w:tc>
        <w:tc>
          <w:tcPr>
            <w:tcW w:type="dxa" w:w="2592"/>
          </w:tcPr>
          <w:p>
            <w:pPr>
              <w:spacing w:after="40"/>
              <w:shd w:val="clear" w:fill="E8F4FC"/>
            </w:pPr>
            <w:r/>
            <w:r>
              <w:rPr>
                <w:rFonts w:ascii="Calibri" w:hAnsi="Calibri"/>
                <w:b/>
                <w:color w:val="0069A4"/>
                <w:sz w:val="18"/>
              </w:rPr>
              <w:t>Represents</w:t>
            </w:r>
          </w:p>
        </w:tc>
      </w:tr>
      <w:tr>
        <w:tc>
          <w:tcPr>
            <w:tcW w:type="dxa" w:w="3312"/>
          </w:tcPr>
          <w:p>
            <w:pPr>
              <w:spacing w:after="40"/>
            </w:pPr>
            <w:r/>
            <w:r>
              <w:rPr>
                <w:rFonts w:ascii="Calibri" w:hAnsi="Calibri"/>
                <w:color w:val="565656"/>
                <w:sz w:val="18"/>
              </w:rPr>
              <w:t>[NAME]</w:t>
            </w:r>
          </w:p>
        </w:tc>
        <w:tc>
          <w:tcPr>
            <w:tcW w:type="dxa" w:w="3312"/>
          </w:tcPr>
          <w:p>
            <w:pPr>
              <w:spacing w:after="40"/>
            </w:pPr>
            <w:r/>
            <w:r>
              <w:rPr>
                <w:rFonts w:ascii="Calibri" w:hAnsi="Calibri"/>
                <w:color w:val="565656"/>
                <w:sz w:val="18"/>
              </w:rPr>
              <w:t>[DESIGNATION]</w:t>
            </w:r>
          </w:p>
        </w:tc>
        <w:tc>
          <w:tcPr>
            <w:tcW w:type="dxa" w:w="2592"/>
          </w:tcPr>
          <w:p>
            <w:pPr>
              <w:spacing w:after="40"/>
            </w:pPr>
            <w:r/>
            <w:r>
              <w:rPr>
                <w:rFonts w:ascii="Calibri" w:hAnsi="Calibri"/>
                <w:color w:val="565656"/>
                <w:sz w:val="18"/>
              </w:rPr>
              <w:t>Employer, Chairperson</w:t>
            </w:r>
          </w:p>
        </w:tc>
      </w:tr>
      <w:tr>
        <w:tc>
          <w:tcPr>
            <w:tcW w:type="dxa" w:w="3312"/>
          </w:tcPr>
          <w:p>
            <w:pPr>
              <w:spacing w:after="40"/>
            </w:pPr>
            <w:r/>
            <w:r>
              <w:rPr>
                <w:rFonts w:ascii="Calibri" w:hAnsi="Calibri"/>
                <w:color w:val="565656"/>
                <w:sz w:val="18"/>
              </w:rPr>
              <w:t>[NAME]</w:t>
            </w:r>
          </w:p>
        </w:tc>
        <w:tc>
          <w:tcPr>
            <w:tcW w:type="dxa" w:w="3312"/>
          </w:tcPr>
          <w:p>
            <w:pPr>
              <w:spacing w:after="40"/>
            </w:pPr>
            <w:r/>
            <w:r>
              <w:rPr>
                <w:rFonts w:ascii="Calibri" w:hAnsi="Calibri"/>
                <w:color w:val="565656"/>
                <w:sz w:val="18"/>
              </w:rPr>
              <w:t>Safety Officer</w:t>
            </w:r>
          </w:p>
        </w:tc>
        <w:tc>
          <w:tcPr>
            <w:tcW w:type="dxa" w:w="2592"/>
          </w:tcPr>
          <w:p>
            <w:pPr>
              <w:spacing w:after="40"/>
            </w:pPr>
            <w:r/>
            <w:r>
              <w:rPr>
                <w:rFonts w:ascii="Calibri" w:hAnsi="Calibri"/>
                <w:color w:val="565656"/>
                <w:sz w:val="18"/>
              </w:rPr>
              <w:t>Employer, Secretary</w:t>
            </w:r>
          </w:p>
        </w:tc>
      </w:tr>
      <w:tr>
        <w:tc>
          <w:tcPr>
            <w:tcW w:type="dxa" w:w="3312"/>
          </w:tcPr>
          <w:p>
            <w:pPr>
              <w:spacing w:after="40"/>
            </w:pPr>
            <w:r/>
            <w:r>
              <w:rPr>
                <w:rFonts w:ascii="Calibri" w:hAnsi="Calibri"/>
                <w:color w:val="565656"/>
                <w:sz w:val="18"/>
              </w:rPr>
              <w:t>[NAME]</w:t>
            </w:r>
          </w:p>
        </w:tc>
        <w:tc>
          <w:tcPr>
            <w:tcW w:type="dxa" w:w="3312"/>
          </w:tcPr>
          <w:p>
            <w:pPr>
              <w:spacing w:after="40"/>
            </w:pPr>
            <w:r/>
            <w:r>
              <w:rPr>
                <w:rFonts w:ascii="Calibri" w:hAnsi="Calibri"/>
                <w:color w:val="565656"/>
                <w:sz w:val="18"/>
              </w:rPr>
              <w:t>[DESIGNATION]</w:t>
            </w:r>
          </w:p>
        </w:tc>
        <w:tc>
          <w:tcPr>
            <w:tcW w:type="dxa" w:w="2592"/>
          </w:tcPr>
          <w:p>
            <w:pPr>
              <w:spacing w:after="40"/>
            </w:pPr>
            <w:r/>
            <w:r>
              <w:rPr>
                <w:rFonts w:ascii="Calibri" w:hAnsi="Calibri"/>
                <w:color w:val="565656"/>
                <w:sz w:val="18"/>
              </w:rPr>
              <w:t>Workers</w:t>
            </w:r>
          </w:p>
        </w:tc>
      </w:tr>
      <w:tr>
        <w:tc>
          <w:tcPr>
            <w:tcW w:type="dxa" w:w="3312"/>
          </w:tcPr>
          <w:p>
            <w:pPr>
              <w:spacing w:after="40"/>
            </w:pPr>
            <w:r/>
            <w:r>
              <w:rPr>
                <w:rFonts w:ascii="Calibri" w:hAnsi="Calibri"/>
                <w:color w:val="565656"/>
                <w:sz w:val="18"/>
              </w:rPr>
              <w:t>[NAME]</w:t>
            </w:r>
          </w:p>
        </w:tc>
        <w:tc>
          <w:tcPr>
            <w:tcW w:type="dxa" w:w="3312"/>
          </w:tcPr>
          <w:p>
            <w:pPr>
              <w:spacing w:after="40"/>
            </w:pPr>
            <w:r/>
            <w:r>
              <w:rPr>
                <w:rFonts w:ascii="Calibri" w:hAnsi="Calibri"/>
                <w:color w:val="565656"/>
                <w:sz w:val="18"/>
              </w:rPr>
              <w:t>[DESIGNATION]</w:t>
            </w:r>
          </w:p>
        </w:tc>
        <w:tc>
          <w:tcPr>
            <w:tcW w:type="dxa" w:w="2592"/>
          </w:tcPr>
          <w:p>
            <w:pPr>
              <w:spacing w:after="40"/>
            </w:pPr>
            <w:r/>
            <w:r>
              <w:rPr>
                <w:rFonts w:ascii="Calibri" w:hAnsi="Calibri"/>
                <w:color w:val="565656"/>
                <w:sz w:val="18"/>
              </w:rPr>
              <w:t>Workers</w:t>
            </w:r>
          </w:p>
        </w:tc>
      </w:tr>
    </w:tbl>
    <w:p>
      <w:pPr>
        <w:keepNext w:val="0"/>
        <w:spacing w:after="120" w:before="0"/>
      </w:pPr>
      <w:r>
        <w:rPr>
          <w:rFonts w:ascii="Calibri" w:hAnsi="Calibri"/>
          <w:b w:val="0"/>
          <w:i w:val="0"/>
          <w:color w:val="1D1D1D"/>
          <w:sz w:val="21"/>
        </w:rPr>
      </w:r>
    </w:p>
    <w:p>
      <w:pPr>
        <w:keepNext w:val="0"/>
        <w:spacing w:after="32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r>
        <w:br w:type="page"/>
      </w:r>
    </w:p>
    <w:p>
      <w:pPr>
        <w:pStyle w:val="Heading1"/>
        <w:keepNext/>
        <w:spacing w:after="200" w:before="80"/>
        <w:ind w:left="115"/>
        <w:shd w:val="clear" w:fill="0069A4"/>
      </w:pPr>
      <w:r>
        <w:rPr>
          <w:rFonts w:ascii="Calibri" w:hAnsi="Calibri"/>
          <w:b/>
          <w:color w:val="FFFFFF"/>
          <w:sz w:val="20"/>
        </w:rPr>
        <w:t>FORMAT 08  ·  SAFETY COMMITTEE MEETING MINUTES</w:t>
      </w:r>
    </w:p>
    <w:p>
      <w:pPr>
        <w:keepNext w:val="0"/>
        <w:spacing w:after="160" w:before="0"/>
        <w:ind w:left="144"/>
        <w:shd w:val="clear" w:fill="F4FAFE"/>
      </w:pPr>
      <w:r>
        <w:rPr>
          <w:rFonts w:ascii="Calibri" w:hAnsi="Calibri"/>
          <w:b w:val="0"/>
          <w:i/>
          <w:color w:val="565656"/>
          <w:sz w:val="18"/>
        </w:rPr>
        <w:t>Quarterly, or monthly in a mine, with the hazard and accident information rule 14(4) says the Committee must be given.</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160" w:before="0"/>
      </w:pPr>
      <w:r>
        <w:rPr>
          <w:rFonts w:ascii="Calibri" w:hAnsi="Calibri"/>
          <w:b/>
          <w:i w:val="0"/>
          <w:color w:val="1D1D1D"/>
          <w:sz w:val="24"/>
        </w:rPr>
        <w:t>MINUTES OF THE SAFETY COMMITTEE</w:t>
      </w:r>
    </w:p>
    <w:tbl>
      <w:tblPr>
        <w:tblStyle w:val="TableGrid"/>
        <w:tblW w:type="auto" w:w="0"/>
        <w:tblLook w:firstColumn="1" w:firstRow="1" w:lastColumn="0" w:lastRow="0" w:noHBand="0" w:noVBand="1" w:val="04A0"/>
      </w:tblPr>
      <w:tblGrid>
        <w:gridCol w:w="4824"/>
        <w:gridCol w:w="4824"/>
      </w:tblGrid>
      <w:tr>
        <w:tc>
          <w:tcPr>
            <w:tcW w:type="dxa" w:w="3168"/>
          </w:tcPr>
          <w:p>
            <w:pPr>
              <w:spacing w:after="40"/>
              <w:shd w:val="clear" w:fill="E8F4FC"/>
            </w:pPr>
            <w:r/>
            <w:r>
              <w:rPr>
                <w:rFonts w:ascii="Calibri" w:hAnsi="Calibri"/>
                <w:b/>
                <w:color w:val="0069A4"/>
                <w:sz w:val="18"/>
              </w:rPr>
              <w:t>Field</w:t>
            </w:r>
          </w:p>
        </w:tc>
        <w:tc>
          <w:tcPr>
            <w:tcW w:type="dxa" w:w="6192"/>
          </w:tcPr>
          <w:p>
            <w:pPr>
              <w:spacing w:after="40"/>
              <w:shd w:val="clear" w:fill="E8F4FC"/>
            </w:pPr>
            <w:r/>
            <w:r>
              <w:rPr>
                <w:rFonts w:ascii="Calibri" w:hAnsi="Calibri"/>
                <w:b/>
                <w:color w:val="0069A4"/>
                <w:sz w:val="18"/>
              </w:rPr>
              <w:t>Entry</w:t>
            </w:r>
          </w:p>
        </w:tc>
      </w:tr>
      <w:tr>
        <w:tc>
          <w:tcPr>
            <w:tcW w:type="dxa" w:w="3168"/>
          </w:tcPr>
          <w:p>
            <w:pPr>
              <w:spacing w:after="40"/>
            </w:pPr>
            <w:r/>
            <w:r>
              <w:rPr>
                <w:rFonts w:ascii="Calibri" w:hAnsi="Calibri"/>
                <w:color w:val="565656"/>
                <w:sz w:val="18"/>
              </w:rPr>
              <w:t>Meeting number and date</w:t>
            </w:r>
          </w:p>
        </w:tc>
        <w:tc>
          <w:tcPr>
            <w:tcW w:type="dxa" w:w="6192"/>
          </w:tcPr>
          <w:p>
            <w:pPr>
              <w:spacing w:after="40"/>
            </w:pPr>
            <w:r/>
            <w:r>
              <w:rPr>
                <w:rFonts w:ascii="Calibri" w:hAnsi="Calibri"/>
                <w:color w:val="565656"/>
                <w:sz w:val="18"/>
              </w:rPr>
              <w:t>[NUMBER] of [YYYY], [DD-MMM-YYYY]</w:t>
            </w:r>
          </w:p>
        </w:tc>
      </w:tr>
      <w:tr>
        <w:tc>
          <w:tcPr>
            <w:tcW w:type="dxa" w:w="3168"/>
          </w:tcPr>
          <w:p>
            <w:pPr>
              <w:spacing w:after="40"/>
            </w:pPr>
            <w:r/>
            <w:r>
              <w:rPr>
                <w:rFonts w:ascii="Calibri" w:hAnsi="Calibri"/>
                <w:color w:val="565656"/>
                <w:sz w:val="18"/>
              </w:rPr>
              <w:t>Previous meeting</w:t>
            </w:r>
          </w:p>
        </w:tc>
        <w:tc>
          <w:tcPr>
            <w:tcW w:type="dxa" w:w="6192"/>
          </w:tcPr>
          <w:p>
            <w:pPr>
              <w:spacing w:after="40"/>
            </w:pPr>
            <w:r/>
            <w:r>
              <w:rPr>
                <w:rFonts w:ascii="Calibri" w:hAnsi="Calibri"/>
                <w:color w:val="565656"/>
                <w:sz w:val="18"/>
              </w:rPr>
              <w:t>[DD-MMM-YYYY]</w:t>
            </w:r>
          </w:p>
        </w:tc>
      </w:tr>
      <w:tr>
        <w:tc>
          <w:tcPr>
            <w:tcW w:type="dxa" w:w="3168"/>
          </w:tcPr>
          <w:p>
            <w:pPr>
              <w:spacing w:after="40"/>
            </w:pPr>
            <w:r/>
            <w:r>
              <w:rPr>
                <w:rFonts w:ascii="Calibri" w:hAnsi="Calibri"/>
                <w:color w:val="565656"/>
                <w:sz w:val="18"/>
              </w:rPr>
              <w:t>Quarterly requirement met?</w:t>
            </w:r>
          </w:p>
        </w:tc>
        <w:tc>
          <w:tcPr>
            <w:tcW w:type="dxa" w:w="6192"/>
          </w:tcPr>
          <w:p>
            <w:pPr>
              <w:spacing w:after="40"/>
            </w:pPr>
            <w:r/>
            <w:r>
              <w:rPr>
                <w:rFonts w:ascii="Calibri" w:hAnsi="Calibri"/>
                <w:color w:val="565656"/>
                <w:sz w:val="18"/>
              </w:rPr>
              <w:t>[YES / NO]</w:t>
            </w:r>
          </w:p>
        </w:tc>
      </w:tr>
      <w:tr>
        <w:tc>
          <w:tcPr>
            <w:tcW w:type="dxa" w:w="3168"/>
          </w:tcPr>
          <w:p>
            <w:pPr>
              <w:spacing w:after="40"/>
            </w:pPr>
            <w:r/>
            <w:r>
              <w:rPr>
                <w:rFonts w:ascii="Calibri" w:hAnsi="Calibri"/>
                <w:color w:val="565656"/>
                <w:sz w:val="18"/>
              </w:rPr>
              <w:t>Chairperson</w:t>
            </w:r>
          </w:p>
        </w:tc>
        <w:tc>
          <w:tcPr>
            <w:tcW w:type="dxa" w:w="6192"/>
          </w:tcPr>
          <w:p>
            <w:pPr>
              <w:spacing w:after="40"/>
            </w:pPr>
            <w:r/>
            <w:r>
              <w:rPr>
                <w:rFonts w:ascii="Calibri" w:hAnsi="Calibri"/>
                <w:color w:val="565656"/>
                <w:sz w:val="18"/>
              </w:rPr>
              <w:t>[NAME]</w:t>
            </w:r>
          </w:p>
        </w:tc>
      </w:tr>
      <w:tr>
        <w:tc>
          <w:tcPr>
            <w:tcW w:type="dxa" w:w="3168"/>
          </w:tcPr>
          <w:p>
            <w:pPr>
              <w:spacing w:after="40"/>
            </w:pPr>
            <w:r/>
            <w:r>
              <w:rPr>
                <w:rFonts w:ascii="Calibri" w:hAnsi="Calibri"/>
                <w:color w:val="565656"/>
                <w:sz w:val="18"/>
              </w:rPr>
              <w:t>Secretary, Safety Officer</w:t>
            </w:r>
          </w:p>
        </w:tc>
        <w:tc>
          <w:tcPr>
            <w:tcW w:type="dxa" w:w="6192"/>
          </w:tcPr>
          <w:p>
            <w:pPr>
              <w:spacing w:after="40"/>
            </w:pPr>
            <w:r/>
            <w:r>
              <w:rPr>
                <w:rFonts w:ascii="Calibri" w:hAnsi="Calibri"/>
                <w:color w:val="565656"/>
                <w:sz w:val="18"/>
              </w:rPr>
              <w:t>[NAME]</w:t>
            </w:r>
          </w:p>
        </w:tc>
      </w:tr>
      <w:tr>
        <w:tc>
          <w:tcPr>
            <w:tcW w:type="dxa" w:w="3168"/>
          </w:tcPr>
          <w:p>
            <w:pPr>
              <w:spacing w:after="40"/>
            </w:pPr>
            <w:r/>
            <w:r>
              <w:rPr>
                <w:rFonts w:ascii="Calibri" w:hAnsi="Calibri"/>
                <w:color w:val="565656"/>
                <w:sz w:val="18"/>
              </w:rPr>
              <w:t>Members present, employer side</w:t>
            </w:r>
          </w:p>
        </w:tc>
        <w:tc>
          <w:tcPr>
            <w:tcW w:type="dxa" w:w="6192"/>
          </w:tcPr>
          <w:p>
            <w:pPr>
              <w:spacing w:after="40"/>
            </w:pPr>
            <w:r/>
            <w:r>
              <w:rPr>
                <w:rFonts w:ascii="Calibri" w:hAnsi="Calibri"/>
                <w:color w:val="565656"/>
                <w:sz w:val="18"/>
              </w:rPr>
              <w:t>[NAMES]</w:t>
            </w:r>
          </w:p>
        </w:tc>
      </w:tr>
      <w:tr>
        <w:tc>
          <w:tcPr>
            <w:tcW w:type="dxa" w:w="3168"/>
          </w:tcPr>
          <w:p>
            <w:pPr>
              <w:spacing w:after="40"/>
            </w:pPr>
            <w:r/>
            <w:r>
              <w:rPr>
                <w:rFonts w:ascii="Calibri" w:hAnsi="Calibri"/>
                <w:color w:val="565656"/>
                <w:sz w:val="18"/>
              </w:rPr>
              <w:t>Members present, worker side</w:t>
            </w:r>
          </w:p>
        </w:tc>
        <w:tc>
          <w:tcPr>
            <w:tcW w:type="dxa" w:w="6192"/>
          </w:tcPr>
          <w:p>
            <w:pPr>
              <w:spacing w:after="40"/>
            </w:pPr>
            <w:r/>
            <w:r>
              <w:rPr>
                <w:rFonts w:ascii="Calibri" w:hAnsi="Calibri"/>
                <w:color w:val="565656"/>
                <w:sz w:val="18"/>
              </w:rPr>
              <w:t>[NAMES]</w:t>
            </w:r>
          </w:p>
        </w:tc>
      </w:tr>
    </w:tbl>
    <w:p>
      <w:pPr>
        <w:keepNext w:val="0"/>
        <w:spacing w:after="160" w:before="0"/>
      </w:pPr>
      <w:r>
        <w:rPr>
          <w:rFonts w:ascii="Calibri" w:hAnsi="Calibri"/>
          <w:b w:val="0"/>
          <w:i w:val="0"/>
          <w:color w:val="1D1D1D"/>
          <w:sz w:val="21"/>
        </w:rPr>
      </w:r>
    </w:p>
    <w:p>
      <w:pPr>
        <w:keepNext w:val="0"/>
        <w:spacing w:after="80" w:before="0"/>
      </w:pPr>
      <w:r>
        <w:rPr>
          <w:rFonts w:ascii="Calibri" w:hAnsi="Calibri"/>
          <w:b/>
          <w:i w:val="0"/>
          <w:color w:val="1D1D1D"/>
          <w:sz w:val="20"/>
        </w:rPr>
        <w:t>Information placed before the Committee, under rule 14(4)</w:t>
      </w:r>
    </w:p>
    <w:p>
      <w:pPr>
        <w:keepNext w:val="0"/>
        <w:spacing w:after="80" w:before="0"/>
      </w:pPr>
      <w:r>
        <w:rPr>
          <w:rFonts w:ascii="Calibri" w:hAnsi="Calibri"/>
          <w:b w:val="0"/>
          <w:i w:val="0"/>
          <w:color w:val="1D1D1D"/>
          <w:sz w:val="20"/>
        </w:rPr>
        <w:t>Potential safety and health hazards workers may be exposed to:</w:t>
      </w:r>
    </w:p>
    <w:p>
      <w:pPr>
        <w:keepNext w:val="0"/>
        <w:spacing w:after="160" w:before="0"/>
      </w:pPr>
      <w:r>
        <w:rPr>
          <w:rFonts w:ascii="Calibri" w:hAnsi="Calibri"/>
          <w:b w:val="0"/>
          <w:i w:val="0"/>
          <w:color w:val="565656"/>
          <w:sz w:val="20"/>
        </w:rPr>
        <w:t>________________________________________________________________________________________________________</w:t>
      </w:r>
    </w:p>
    <w:p>
      <w:pPr>
        <w:keepNext w:val="0"/>
        <w:spacing w:after="160" w:before="0"/>
      </w:pPr>
      <w:r>
        <w:rPr>
          <w:rFonts w:ascii="Calibri" w:hAnsi="Calibri"/>
          <w:b w:val="0"/>
          <w:i w:val="0"/>
          <w:color w:val="565656"/>
          <w:sz w:val="20"/>
        </w:rPr>
        <w:t>________________________________________________________________________________________________________</w:t>
      </w:r>
    </w:p>
    <w:p>
      <w:pPr>
        <w:keepNext w:val="0"/>
        <w:spacing w:after="80" w:before="0"/>
      </w:pPr>
      <w:r>
        <w:rPr>
          <w:rFonts w:ascii="Calibri" w:hAnsi="Calibri"/>
          <w:b w:val="0"/>
          <w:i w:val="0"/>
          <w:color w:val="1D1D1D"/>
          <w:sz w:val="20"/>
        </w:rPr>
        <w:t>Accident data and surveillance results:</w:t>
      </w:r>
    </w:p>
    <w:p>
      <w:pPr>
        <w:keepNext w:val="0"/>
        <w:spacing w:after="160" w:before="0"/>
      </w:pPr>
      <w:r>
        <w:rPr>
          <w:rFonts w:ascii="Calibri" w:hAnsi="Calibri"/>
          <w:b w:val="0"/>
          <w:i w:val="0"/>
          <w:color w:val="565656"/>
          <w:sz w:val="20"/>
        </w:rPr>
        <w:t>________________________________________________________________________________________________________</w:t>
      </w:r>
    </w:p>
    <w:p>
      <w:pPr>
        <w:keepNext w:val="0"/>
        <w:spacing w:after="160" w:before="0"/>
      </w:pPr>
      <w:r>
        <w:rPr>
          <w:rFonts w:ascii="Calibri" w:hAnsi="Calibri"/>
          <w:b w:val="0"/>
          <w:i w:val="0"/>
          <w:color w:val="565656"/>
          <w:sz w:val="20"/>
        </w:rPr>
        <w:t>________________________________________________________________________________________________________</w:t>
      </w:r>
    </w:p>
    <w:p>
      <w:pPr>
        <w:keepNext w:val="0"/>
        <w:spacing w:after="80" w:before="80"/>
      </w:pPr>
      <w:r>
        <w:rPr>
          <w:rFonts w:ascii="Calibri" w:hAnsi="Calibri"/>
          <w:b/>
          <w:i w:val="0"/>
          <w:color w:val="1D1D1D"/>
          <w:sz w:val="20"/>
        </w:rPr>
        <w:t>Matters considered, against the seven functions rule 15(6) gives the Committee</w:t>
      </w:r>
    </w:p>
    <w:p>
      <w:pPr>
        <w:keepNext w:val="0"/>
        <w:spacing w:after="120" w:before="0"/>
      </w:pPr>
      <w:r>
        <w:rPr>
          <w:rFonts w:ascii="Calibri" w:hAnsi="Calibri"/>
          <w:b w:val="0"/>
          <w:i/>
          <w:color w:val="565656"/>
          <w:sz w:val="18"/>
        </w:rPr>
        <w:t>Minute something against each, even if it is 'nothing this quarter'. A blank line is not evidence that the function was considered.</w:t>
      </w:r>
    </w:p>
    <w:p>
      <w:pPr>
        <w:keepNext w:val="0"/>
        <w:spacing w:after="40" w:before="0"/>
        <w:ind w:left="144"/>
      </w:pPr>
      <w:r>
        <w:rPr>
          <w:rFonts w:ascii="Calibri" w:hAnsi="Calibri"/>
          <w:b w:val="0"/>
          <w:i w:val="0"/>
          <w:color w:val="565656"/>
          <w:sz w:val="19"/>
        </w:rPr>
        <w:t>1.  Assist and cooperate with the management in achieving the aims and objectives outlined in the Safety and Health Policy of the establishment.</w:t>
      </w:r>
    </w:p>
    <w:p>
      <w:pPr>
        <w:keepNext w:val="0"/>
        <w:spacing w:after="160" w:before="0"/>
      </w:pPr>
      <w:r>
        <w:rPr>
          <w:rFonts w:ascii="Calibri" w:hAnsi="Calibri"/>
          <w:b w:val="0"/>
          <w:i w:val="0"/>
          <w:color w:val="565656"/>
          <w:sz w:val="20"/>
        </w:rPr>
        <w:t>________________________________________________________________________________________________________</w:t>
      </w:r>
    </w:p>
    <w:p>
      <w:pPr>
        <w:keepNext w:val="0"/>
        <w:spacing w:after="40" w:before="0"/>
        <w:ind w:left="144"/>
      </w:pPr>
      <w:r>
        <w:rPr>
          <w:rFonts w:ascii="Calibri" w:hAnsi="Calibri"/>
          <w:b w:val="0"/>
          <w:i w:val="0"/>
          <w:color w:val="565656"/>
          <w:sz w:val="19"/>
        </w:rPr>
        <w:t>2.  Deal with all matters concerning health, safety and environment, and arrive at practicable solutions to the problems encountered.</w:t>
      </w:r>
    </w:p>
    <w:p>
      <w:pPr>
        <w:keepNext w:val="0"/>
        <w:spacing w:after="160" w:before="0"/>
      </w:pPr>
      <w:r>
        <w:rPr>
          <w:rFonts w:ascii="Calibri" w:hAnsi="Calibri"/>
          <w:b w:val="0"/>
          <w:i w:val="0"/>
          <w:color w:val="565656"/>
          <w:sz w:val="20"/>
        </w:rPr>
        <w:t>________________________________________________________________________________________________________</w:t>
      </w:r>
    </w:p>
    <w:p>
      <w:pPr>
        <w:keepNext w:val="0"/>
        <w:spacing w:after="40" w:before="0"/>
        <w:ind w:left="144"/>
      </w:pPr>
      <w:r>
        <w:rPr>
          <w:rFonts w:ascii="Calibri" w:hAnsi="Calibri"/>
          <w:b w:val="0"/>
          <w:i w:val="0"/>
          <w:color w:val="565656"/>
          <w:sz w:val="19"/>
        </w:rPr>
        <w:t>3.  Create safety awareness amongst all workers.</w:t>
      </w:r>
    </w:p>
    <w:p>
      <w:pPr>
        <w:keepNext w:val="0"/>
        <w:spacing w:after="160" w:before="0"/>
      </w:pPr>
      <w:r>
        <w:rPr>
          <w:rFonts w:ascii="Calibri" w:hAnsi="Calibri"/>
          <w:b w:val="0"/>
          <w:i w:val="0"/>
          <w:color w:val="565656"/>
          <w:sz w:val="20"/>
        </w:rPr>
        <w:t>________________________________________________________________________________________________________</w:t>
      </w:r>
    </w:p>
    <w:p>
      <w:pPr>
        <w:keepNext w:val="0"/>
        <w:spacing w:after="40" w:before="0"/>
        <w:ind w:left="144"/>
      </w:pPr>
      <w:r>
        <w:rPr>
          <w:rFonts w:ascii="Calibri" w:hAnsi="Calibri"/>
          <w:b w:val="0"/>
          <w:i w:val="0"/>
          <w:color w:val="565656"/>
          <w:sz w:val="19"/>
        </w:rPr>
        <w:t>4.  Undertake educational, training and promotional activities.</w:t>
      </w:r>
    </w:p>
    <w:p>
      <w:pPr>
        <w:keepNext w:val="0"/>
        <w:spacing w:after="160" w:before="0"/>
      </w:pPr>
      <w:r>
        <w:rPr>
          <w:rFonts w:ascii="Calibri" w:hAnsi="Calibri"/>
          <w:b w:val="0"/>
          <w:i w:val="0"/>
          <w:color w:val="565656"/>
          <w:sz w:val="20"/>
        </w:rPr>
        <w:t>________________________________________________________________________________________________________</w:t>
      </w:r>
    </w:p>
    <w:p>
      <w:pPr>
        <w:keepNext w:val="0"/>
        <w:spacing w:after="40" w:before="0"/>
        <w:ind w:left="144"/>
      </w:pPr>
      <w:r>
        <w:rPr>
          <w:rFonts w:ascii="Calibri" w:hAnsi="Calibri"/>
          <w:b w:val="0"/>
          <w:i w:val="0"/>
          <w:color w:val="565656"/>
          <w:sz w:val="19"/>
        </w:rPr>
        <w:t>5.  Discuss reports on safety, environmental and occupational health surveys, safety audits, risk assessment, emergency and disaster management plans, and the implementation of the recommendations made in those reports.</w:t>
      </w:r>
    </w:p>
    <w:p>
      <w:pPr>
        <w:keepNext w:val="0"/>
        <w:spacing w:after="160" w:before="0"/>
      </w:pPr>
      <w:r>
        <w:rPr>
          <w:rFonts w:ascii="Calibri" w:hAnsi="Calibri"/>
          <w:b w:val="0"/>
          <w:i w:val="0"/>
          <w:color w:val="565656"/>
          <w:sz w:val="20"/>
        </w:rPr>
        <w:t>________________________________________________________________________________________________________</w:t>
      </w:r>
    </w:p>
    <w:p>
      <w:pPr>
        <w:keepNext w:val="0"/>
        <w:spacing w:after="40" w:before="0"/>
        <w:ind w:left="144"/>
      </w:pPr>
      <w:r>
        <w:rPr>
          <w:rFonts w:ascii="Calibri" w:hAnsi="Calibri"/>
          <w:b w:val="0"/>
          <w:i w:val="0"/>
          <w:color w:val="565656"/>
          <w:sz w:val="19"/>
        </w:rPr>
        <w:t>6.  Look into matters likely to cause danger to the safety and health of the workers, and suggest corrective measures.</w:t>
      </w:r>
    </w:p>
    <w:p>
      <w:pPr>
        <w:keepNext w:val="0"/>
        <w:spacing w:after="160" w:before="0"/>
      </w:pPr>
      <w:r>
        <w:rPr>
          <w:rFonts w:ascii="Calibri" w:hAnsi="Calibri"/>
          <w:b w:val="0"/>
          <w:i w:val="0"/>
          <w:color w:val="565656"/>
          <w:sz w:val="20"/>
        </w:rPr>
        <w:t>________________________________________________________________________________________________________</w:t>
      </w:r>
    </w:p>
    <w:p>
      <w:pPr>
        <w:keepNext w:val="0"/>
        <w:spacing w:after="40" w:before="0"/>
        <w:ind w:left="144"/>
      </w:pPr>
      <w:r>
        <w:rPr>
          <w:rFonts w:ascii="Calibri" w:hAnsi="Calibri"/>
          <w:b w:val="0"/>
          <w:i w:val="0"/>
          <w:color w:val="565656"/>
          <w:sz w:val="19"/>
        </w:rPr>
        <w:t>7.  Review the implementation of the recommendations it has made.</w:t>
      </w:r>
    </w:p>
    <w:p>
      <w:pPr>
        <w:keepNext w:val="0"/>
        <w:spacing w:after="160" w:before="0"/>
      </w:pPr>
      <w:r>
        <w:rPr>
          <w:rFonts w:ascii="Calibri" w:hAnsi="Calibri"/>
          <w:b w:val="0"/>
          <w:i w:val="0"/>
          <w:color w:val="565656"/>
          <w:sz w:val="20"/>
        </w:rPr>
        <w:t>________________________________________________________________________________________________________</w:t>
      </w:r>
    </w:p>
    <w:p>
      <w:pPr>
        <w:keepNext w:val="0"/>
        <w:spacing w:after="80" w:before="80"/>
      </w:pPr>
      <w:r>
        <w:rPr>
          <w:rFonts w:ascii="Calibri" w:hAnsi="Calibri"/>
          <w:b/>
          <w:i w:val="0"/>
          <w:color w:val="1D1D1D"/>
          <w:sz w:val="20"/>
        </w:rPr>
        <w:t>Recommendations, each numbered and carried to Format 09</w:t>
      </w:r>
    </w:p>
    <w:p>
      <w:pPr>
        <w:keepNext w:val="0"/>
        <w:spacing w:after="160" w:before="0"/>
      </w:pPr>
      <w:r>
        <w:rPr>
          <w:rFonts w:ascii="Calibri" w:hAnsi="Calibri"/>
          <w:b w:val="0"/>
          <w:i w:val="0"/>
          <w:color w:val="565656"/>
          <w:sz w:val="20"/>
        </w:rPr>
        <w:t>________________________________________________________________________________________________________</w:t>
      </w:r>
    </w:p>
    <w:p>
      <w:pPr>
        <w:keepNext w:val="0"/>
        <w:spacing w:after="160" w:before="0"/>
      </w:pPr>
      <w:r>
        <w:rPr>
          <w:rFonts w:ascii="Calibri" w:hAnsi="Calibri"/>
          <w:b w:val="0"/>
          <w:i w:val="0"/>
          <w:color w:val="565656"/>
          <w:sz w:val="20"/>
        </w:rPr>
        <w:t>________________________________________________________________________________________________________</w:t>
      </w:r>
    </w:p>
    <w:p>
      <w:pPr>
        <w:keepNext w:val="0"/>
        <w:spacing w:after="160" w:before="0"/>
      </w:pPr>
      <w:r>
        <w:rPr>
          <w:rFonts w:ascii="Calibri" w:hAnsi="Calibri"/>
          <w:b w:val="0"/>
          <w:i w:val="0"/>
          <w:color w:val="565656"/>
          <w:sz w:val="20"/>
        </w:rPr>
        <w:t>________________________________________________________________________________________________________</w:t>
      </w:r>
    </w:p>
    <w:p>
      <w:pPr>
        <w:keepNext w:val="0"/>
        <w:spacing w:after="80" w:before="0"/>
      </w:pPr>
      <w:r>
        <w:rPr>
          <w:rFonts w:ascii="Calibri" w:hAnsi="Calibri"/>
          <w:b w:val="0"/>
          <w:i w:val="0"/>
          <w:color w:val="1D1D1D"/>
          <w:sz w:val="19"/>
        </w:rPr>
        <w:t>Signature of the Chairperson: ______________________       Date: ______________</w:t>
      </w:r>
    </w:p>
    <w:p>
      <w:r>
        <w:br w:type="page"/>
      </w:r>
    </w:p>
    <w:p>
      <w:pPr>
        <w:pStyle w:val="Heading1"/>
        <w:keepNext/>
        <w:spacing w:after="200" w:before="80"/>
        <w:ind w:left="115"/>
        <w:shd w:val="clear" w:fill="0069A4"/>
      </w:pPr>
      <w:r>
        <w:rPr>
          <w:rFonts w:ascii="Calibri" w:hAnsi="Calibri"/>
          <w:b/>
          <w:color w:val="FFFFFF"/>
          <w:sz w:val="20"/>
        </w:rPr>
        <w:t>FORMAT 09  ·  RECOMMENDATIONS AND ACTION REGISTER</w:t>
      </w:r>
    </w:p>
    <w:p>
      <w:pPr>
        <w:keepNext w:val="0"/>
        <w:spacing w:after="160" w:before="0"/>
        <w:ind w:left="144"/>
        <w:shd w:val="clear" w:fill="F4FAFE"/>
      </w:pPr>
      <w:r>
        <w:rPr>
          <w:rFonts w:ascii="Calibri" w:hAnsi="Calibri"/>
          <w:b w:val="0"/>
          <w:i/>
          <w:color w:val="565656"/>
          <w:sz w:val="18"/>
        </w:rPr>
        <w:t>The fifteen day clock in rule 14(5) runs from receipt of each recommendation. This is where that date lives.</w:t>
      </w:r>
    </w:p>
    <w:p>
      <w:pPr>
        <w:keepNext w:val="0"/>
        <w:spacing w:after="40" w:before="0"/>
      </w:pPr>
      <w:r>
        <w:rPr>
          <w:rFonts w:ascii="Calibri" w:hAnsi="Calibri"/>
          <w:b/>
          <w:i w:val="0"/>
          <w:color w:val="1D1D1D"/>
          <w:sz w:val="26"/>
        </w:rPr>
        <w:t>RECOMMENDATIONS AND ACTION REGISTER</w:t>
      </w:r>
    </w:p>
    <w:p>
      <w:pPr>
        <w:keepNext w:val="0"/>
        <w:spacing w:after="200" w:before="0"/>
      </w:pPr>
      <w:r>
        <w:rPr>
          <w:rFonts w:ascii="Calibri" w:hAnsi="Calibri"/>
          <w:b w:val="0"/>
          <w:i w:val="0"/>
          <w:color w:val="565656"/>
          <w:sz w:val="19"/>
        </w:rPr>
        <w:t>[COMPANY NAME]  ·  Year [YYYY]</w:t>
      </w:r>
    </w:p>
    <w:p>
      <w:pPr>
        <w:keepNext w:val="0"/>
        <w:spacing w:after="200" w:before="0"/>
      </w:pPr>
      <w:r>
        <w:rPr>
          <w:rFonts w:ascii="Calibri" w:hAnsi="Calibri"/>
          <w:b w:val="0"/>
          <w:i/>
          <w:color w:val="565656"/>
          <w:sz w:val="19"/>
        </w:rPr>
        <w:t>Rule 14(5) gives the employer fifteen days from RECEIPT of a recommendation to take action to implement it. The date of receipt is therefore the only date on this page that cannot be reconstructed later.</w:t>
      </w:r>
    </w:p>
    <w:tbl>
      <w:tblPr>
        <w:tblStyle w:val="TableGrid"/>
        <w:tblW w:type="auto" w:w="0"/>
        <w:tblLook w:firstColumn="1" w:firstRow="1" w:lastColumn="0" w:lastRow="0" w:noHBand="0" w:noVBand="1" w:val="04A0"/>
      </w:tblPr>
      <w:tblGrid>
        <w:gridCol w:w="1378"/>
        <w:gridCol w:w="1378"/>
        <w:gridCol w:w="1378"/>
        <w:gridCol w:w="1378"/>
        <w:gridCol w:w="1378"/>
        <w:gridCol w:w="1378"/>
        <w:gridCol w:w="1378"/>
      </w:tblGrid>
      <w:tr>
        <w:tc>
          <w:tcPr>
            <w:tcW w:type="dxa" w:w="432"/>
          </w:tcPr>
          <w:p>
            <w:pPr>
              <w:spacing w:after="40"/>
              <w:shd w:val="clear" w:fill="E8F4FC"/>
            </w:pPr>
            <w:r/>
            <w:r>
              <w:rPr>
                <w:rFonts w:ascii="Calibri" w:hAnsi="Calibri"/>
                <w:b/>
                <w:color w:val="0069A4"/>
                <w:sz w:val="17"/>
              </w:rPr>
              <w:t>#</w:t>
            </w:r>
          </w:p>
        </w:tc>
        <w:tc>
          <w:tcPr>
            <w:tcW w:type="dxa" w:w="2736"/>
          </w:tcPr>
          <w:p>
            <w:pPr>
              <w:spacing w:after="40"/>
              <w:shd w:val="clear" w:fill="E8F4FC"/>
            </w:pPr>
            <w:r/>
            <w:r>
              <w:rPr>
                <w:rFonts w:ascii="Calibri" w:hAnsi="Calibri"/>
                <w:b/>
                <w:color w:val="0069A4"/>
                <w:sz w:val="17"/>
              </w:rPr>
              <w:t>Recommendation</w:t>
            </w:r>
          </w:p>
        </w:tc>
        <w:tc>
          <w:tcPr>
            <w:tcW w:type="dxa" w:w="1296"/>
          </w:tcPr>
          <w:p>
            <w:pPr>
              <w:spacing w:after="40"/>
              <w:shd w:val="clear" w:fill="E8F4FC"/>
            </w:pPr>
            <w:r/>
            <w:r>
              <w:rPr>
                <w:rFonts w:ascii="Calibri" w:hAnsi="Calibri"/>
                <w:b/>
                <w:color w:val="0069A4"/>
                <w:sz w:val="17"/>
              </w:rPr>
              <w:t>Meeting date</w:t>
            </w:r>
          </w:p>
        </w:tc>
        <w:tc>
          <w:tcPr>
            <w:tcW w:type="dxa" w:w="1224"/>
          </w:tcPr>
          <w:p>
            <w:pPr>
              <w:spacing w:after="40"/>
              <w:shd w:val="clear" w:fill="E8F4FC"/>
            </w:pPr>
            <w:r/>
            <w:r>
              <w:rPr>
                <w:rFonts w:ascii="Calibri" w:hAnsi="Calibri"/>
                <w:b/>
                <w:color w:val="0069A4"/>
                <w:sz w:val="17"/>
              </w:rPr>
              <w:t>Received on</w:t>
            </w:r>
          </w:p>
        </w:tc>
        <w:tc>
          <w:tcPr>
            <w:tcW w:type="dxa" w:w="1512"/>
          </w:tcPr>
          <w:p>
            <w:pPr>
              <w:spacing w:after="40"/>
              <w:shd w:val="clear" w:fill="E8F4FC"/>
            </w:pPr>
            <w:r/>
            <w:r>
              <w:rPr>
                <w:rFonts w:ascii="Calibri" w:hAnsi="Calibri"/>
                <w:b/>
                <w:color w:val="0069A4"/>
                <w:sz w:val="17"/>
              </w:rPr>
              <w:t>Fifteen days from receipt</w:t>
            </w:r>
          </w:p>
        </w:tc>
        <w:tc>
          <w:tcPr>
            <w:tcW w:type="dxa" w:w="1728"/>
          </w:tcPr>
          <w:p>
            <w:pPr>
              <w:spacing w:after="40"/>
              <w:shd w:val="clear" w:fill="E8F4FC"/>
            </w:pPr>
            <w:r/>
            <w:r>
              <w:rPr>
                <w:rFonts w:ascii="Calibri" w:hAnsi="Calibri"/>
                <w:b/>
                <w:color w:val="0069A4"/>
                <w:sz w:val="17"/>
              </w:rPr>
              <w:t>Action taken</w:t>
            </w:r>
          </w:p>
        </w:tc>
        <w:tc>
          <w:tcPr>
            <w:tcW w:type="dxa" w:w="1152"/>
          </w:tcPr>
          <w:p>
            <w:pPr>
              <w:spacing w:after="40"/>
              <w:shd w:val="clear" w:fill="E8F4FC"/>
            </w:pPr>
            <w:r/>
            <w:r>
              <w:rPr>
                <w:rFonts w:ascii="Calibri" w:hAnsi="Calibri"/>
                <w:b/>
                <w:color w:val="0069A4"/>
                <w:sz w:val="17"/>
              </w:rPr>
              <w:t>Closed on</w:t>
            </w:r>
          </w:p>
        </w:tc>
      </w:tr>
      <w:tr>
        <w:tc>
          <w:tcPr>
            <w:tcW w:type="dxa" w:w="432"/>
          </w:tcPr>
          <w:p>
            <w:pPr>
              <w:spacing w:after="40"/>
            </w:pPr>
            <w:r/>
            <w:r>
              <w:rPr>
                <w:rFonts w:ascii="Calibri" w:hAnsi="Calibri"/>
                <w:color w:val="565656"/>
                <w:sz w:val="17"/>
              </w:rPr>
              <w:t>1</w:t>
            </w:r>
          </w:p>
        </w:tc>
        <w:tc>
          <w:tcPr>
            <w:tcW w:type="dxa" w:w="2736"/>
          </w:tcPr>
          <w:p>
            <w:pPr>
              <w:spacing w:after="40"/>
            </w:pPr>
            <w:r/>
            <w:r>
              <w:rPr>
                <w:rFonts w:ascii="Calibri" w:hAnsi="Calibri"/>
                <w:color w:val="565656"/>
                <w:sz w:val="17"/>
              </w:rPr>
            </w:r>
          </w:p>
        </w:tc>
        <w:tc>
          <w:tcPr>
            <w:tcW w:type="dxa" w:w="1296"/>
          </w:tcPr>
          <w:p>
            <w:pPr>
              <w:spacing w:after="40"/>
            </w:pPr>
            <w:r/>
            <w:r>
              <w:rPr>
                <w:rFonts w:ascii="Calibri" w:hAnsi="Calibri"/>
                <w:color w:val="565656"/>
                <w:sz w:val="17"/>
              </w:rPr>
            </w:r>
          </w:p>
        </w:tc>
        <w:tc>
          <w:tcPr>
            <w:tcW w:type="dxa" w:w="1224"/>
          </w:tcPr>
          <w:p>
            <w:pPr>
              <w:spacing w:after="40"/>
            </w:pPr>
            <w:r/>
            <w:r>
              <w:rPr>
                <w:rFonts w:ascii="Calibri" w:hAnsi="Calibri"/>
                <w:color w:val="565656"/>
                <w:sz w:val="17"/>
              </w:rPr>
            </w:r>
          </w:p>
        </w:tc>
        <w:tc>
          <w:tcPr>
            <w:tcW w:type="dxa" w:w="1512"/>
          </w:tcPr>
          <w:p>
            <w:pPr>
              <w:spacing w:after="40"/>
            </w:pPr>
            <w:r/>
            <w:r>
              <w:rPr>
                <w:rFonts w:ascii="Calibri" w:hAnsi="Calibri"/>
                <w:color w:val="565656"/>
                <w:sz w:val="17"/>
              </w:rPr>
            </w:r>
          </w:p>
        </w:tc>
        <w:tc>
          <w:tcPr>
            <w:tcW w:type="dxa" w:w="1728"/>
          </w:tcPr>
          <w:p>
            <w:pPr>
              <w:spacing w:after="40"/>
            </w:pPr>
            <w:r/>
            <w:r>
              <w:rPr>
                <w:rFonts w:ascii="Calibri" w:hAnsi="Calibri"/>
                <w:color w:val="565656"/>
                <w:sz w:val="17"/>
              </w:rPr>
            </w:r>
          </w:p>
        </w:tc>
        <w:tc>
          <w:tcPr>
            <w:tcW w:type="dxa" w:w="1152"/>
          </w:tcPr>
          <w:p>
            <w:pPr>
              <w:spacing w:after="40"/>
            </w:pPr>
            <w:r/>
            <w:r>
              <w:rPr>
                <w:rFonts w:ascii="Calibri" w:hAnsi="Calibri"/>
                <w:color w:val="565656"/>
                <w:sz w:val="17"/>
              </w:rPr>
            </w:r>
          </w:p>
        </w:tc>
      </w:tr>
      <w:tr>
        <w:tc>
          <w:tcPr>
            <w:tcW w:type="dxa" w:w="432"/>
          </w:tcPr>
          <w:p>
            <w:pPr>
              <w:spacing w:after="40"/>
            </w:pPr>
            <w:r/>
            <w:r>
              <w:rPr>
                <w:rFonts w:ascii="Calibri" w:hAnsi="Calibri"/>
                <w:color w:val="565656"/>
                <w:sz w:val="17"/>
              </w:rPr>
              <w:t>2</w:t>
            </w:r>
          </w:p>
        </w:tc>
        <w:tc>
          <w:tcPr>
            <w:tcW w:type="dxa" w:w="2736"/>
          </w:tcPr>
          <w:p>
            <w:pPr>
              <w:spacing w:after="40"/>
            </w:pPr>
            <w:r/>
            <w:r>
              <w:rPr>
                <w:rFonts w:ascii="Calibri" w:hAnsi="Calibri"/>
                <w:color w:val="565656"/>
                <w:sz w:val="17"/>
              </w:rPr>
            </w:r>
          </w:p>
        </w:tc>
        <w:tc>
          <w:tcPr>
            <w:tcW w:type="dxa" w:w="1296"/>
          </w:tcPr>
          <w:p>
            <w:pPr>
              <w:spacing w:after="40"/>
            </w:pPr>
            <w:r/>
            <w:r>
              <w:rPr>
                <w:rFonts w:ascii="Calibri" w:hAnsi="Calibri"/>
                <w:color w:val="565656"/>
                <w:sz w:val="17"/>
              </w:rPr>
            </w:r>
          </w:p>
        </w:tc>
        <w:tc>
          <w:tcPr>
            <w:tcW w:type="dxa" w:w="1224"/>
          </w:tcPr>
          <w:p>
            <w:pPr>
              <w:spacing w:after="40"/>
            </w:pPr>
            <w:r/>
            <w:r>
              <w:rPr>
                <w:rFonts w:ascii="Calibri" w:hAnsi="Calibri"/>
                <w:color w:val="565656"/>
                <w:sz w:val="17"/>
              </w:rPr>
            </w:r>
          </w:p>
        </w:tc>
        <w:tc>
          <w:tcPr>
            <w:tcW w:type="dxa" w:w="1512"/>
          </w:tcPr>
          <w:p>
            <w:pPr>
              <w:spacing w:after="40"/>
            </w:pPr>
            <w:r/>
            <w:r>
              <w:rPr>
                <w:rFonts w:ascii="Calibri" w:hAnsi="Calibri"/>
                <w:color w:val="565656"/>
                <w:sz w:val="17"/>
              </w:rPr>
            </w:r>
          </w:p>
        </w:tc>
        <w:tc>
          <w:tcPr>
            <w:tcW w:type="dxa" w:w="1728"/>
          </w:tcPr>
          <w:p>
            <w:pPr>
              <w:spacing w:after="40"/>
            </w:pPr>
            <w:r/>
            <w:r>
              <w:rPr>
                <w:rFonts w:ascii="Calibri" w:hAnsi="Calibri"/>
                <w:color w:val="565656"/>
                <w:sz w:val="17"/>
              </w:rPr>
            </w:r>
          </w:p>
        </w:tc>
        <w:tc>
          <w:tcPr>
            <w:tcW w:type="dxa" w:w="1152"/>
          </w:tcPr>
          <w:p>
            <w:pPr>
              <w:spacing w:after="40"/>
            </w:pPr>
            <w:r/>
            <w:r>
              <w:rPr>
                <w:rFonts w:ascii="Calibri" w:hAnsi="Calibri"/>
                <w:color w:val="565656"/>
                <w:sz w:val="17"/>
              </w:rPr>
            </w:r>
          </w:p>
        </w:tc>
      </w:tr>
      <w:tr>
        <w:tc>
          <w:tcPr>
            <w:tcW w:type="dxa" w:w="432"/>
          </w:tcPr>
          <w:p>
            <w:pPr>
              <w:spacing w:after="40"/>
            </w:pPr>
            <w:r/>
            <w:r>
              <w:rPr>
                <w:rFonts w:ascii="Calibri" w:hAnsi="Calibri"/>
                <w:color w:val="565656"/>
                <w:sz w:val="17"/>
              </w:rPr>
              <w:t>3</w:t>
            </w:r>
          </w:p>
        </w:tc>
        <w:tc>
          <w:tcPr>
            <w:tcW w:type="dxa" w:w="2736"/>
          </w:tcPr>
          <w:p>
            <w:pPr>
              <w:spacing w:after="40"/>
            </w:pPr>
            <w:r/>
            <w:r>
              <w:rPr>
                <w:rFonts w:ascii="Calibri" w:hAnsi="Calibri"/>
                <w:color w:val="565656"/>
                <w:sz w:val="17"/>
              </w:rPr>
            </w:r>
          </w:p>
        </w:tc>
        <w:tc>
          <w:tcPr>
            <w:tcW w:type="dxa" w:w="1296"/>
          </w:tcPr>
          <w:p>
            <w:pPr>
              <w:spacing w:after="40"/>
            </w:pPr>
            <w:r/>
            <w:r>
              <w:rPr>
                <w:rFonts w:ascii="Calibri" w:hAnsi="Calibri"/>
                <w:color w:val="565656"/>
                <w:sz w:val="17"/>
              </w:rPr>
            </w:r>
          </w:p>
        </w:tc>
        <w:tc>
          <w:tcPr>
            <w:tcW w:type="dxa" w:w="1224"/>
          </w:tcPr>
          <w:p>
            <w:pPr>
              <w:spacing w:after="40"/>
            </w:pPr>
            <w:r/>
            <w:r>
              <w:rPr>
                <w:rFonts w:ascii="Calibri" w:hAnsi="Calibri"/>
                <w:color w:val="565656"/>
                <w:sz w:val="17"/>
              </w:rPr>
            </w:r>
          </w:p>
        </w:tc>
        <w:tc>
          <w:tcPr>
            <w:tcW w:type="dxa" w:w="1512"/>
          </w:tcPr>
          <w:p>
            <w:pPr>
              <w:spacing w:after="40"/>
            </w:pPr>
            <w:r/>
            <w:r>
              <w:rPr>
                <w:rFonts w:ascii="Calibri" w:hAnsi="Calibri"/>
                <w:color w:val="565656"/>
                <w:sz w:val="17"/>
              </w:rPr>
            </w:r>
          </w:p>
        </w:tc>
        <w:tc>
          <w:tcPr>
            <w:tcW w:type="dxa" w:w="1728"/>
          </w:tcPr>
          <w:p>
            <w:pPr>
              <w:spacing w:after="40"/>
            </w:pPr>
            <w:r/>
            <w:r>
              <w:rPr>
                <w:rFonts w:ascii="Calibri" w:hAnsi="Calibri"/>
                <w:color w:val="565656"/>
                <w:sz w:val="17"/>
              </w:rPr>
            </w:r>
          </w:p>
        </w:tc>
        <w:tc>
          <w:tcPr>
            <w:tcW w:type="dxa" w:w="1152"/>
          </w:tcPr>
          <w:p>
            <w:pPr>
              <w:spacing w:after="40"/>
            </w:pPr>
            <w:r/>
            <w:r>
              <w:rPr>
                <w:rFonts w:ascii="Calibri" w:hAnsi="Calibri"/>
                <w:color w:val="565656"/>
                <w:sz w:val="17"/>
              </w:rPr>
            </w:r>
          </w:p>
        </w:tc>
      </w:tr>
      <w:tr>
        <w:tc>
          <w:tcPr>
            <w:tcW w:type="dxa" w:w="432"/>
          </w:tcPr>
          <w:p>
            <w:pPr>
              <w:spacing w:after="40"/>
            </w:pPr>
            <w:r/>
            <w:r>
              <w:rPr>
                <w:rFonts w:ascii="Calibri" w:hAnsi="Calibri"/>
                <w:color w:val="565656"/>
                <w:sz w:val="17"/>
              </w:rPr>
              <w:t>4</w:t>
            </w:r>
          </w:p>
        </w:tc>
        <w:tc>
          <w:tcPr>
            <w:tcW w:type="dxa" w:w="2736"/>
          </w:tcPr>
          <w:p>
            <w:pPr>
              <w:spacing w:after="40"/>
            </w:pPr>
            <w:r/>
            <w:r>
              <w:rPr>
                <w:rFonts w:ascii="Calibri" w:hAnsi="Calibri"/>
                <w:color w:val="565656"/>
                <w:sz w:val="17"/>
              </w:rPr>
            </w:r>
          </w:p>
        </w:tc>
        <w:tc>
          <w:tcPr>
            <w:tcW w:type="dxa" w:w="1296"/>
          </w:tcPr>
          <w:p>
            <w:pPr>
              <w:spacing w:after="40"/>
            </w:pPr>
            <w:r/>
            <w:r>
              <w:rPr>
                <w:rFonts w:ascii="Calibri" w:hAnsi="Calibri"/>
                <w:color w:val="565656"/>
                <w:sz w:val="17"/>
              </w:rPr>
            </w:r>
          </w:p>
        </w:tc>
        <w:tc>
          <w:tcPr>
            <w:tcW w:type="dxa" w:w="1224"/>
          </w:tcPr>
          <w:p>
            <w:pPr>
              <w:spacing w:after="40"/>
            </w:pPr>
            <w:r/>
            <w:r>
              <w:rPr>
                <w:rFonts w:ascii="Calibri" w:hAnsi="Calibri"/>
                <w:color w:val="565656"/>
                <w:sz w:val="17"/>
              </w:rPr>
            </w:r>
          </w:p>
        </w:tc>
        <w:tc>
          <w:tcPr>
            <w:tcW w:type="dxa" w:w="1512"/>
          </w:tcPr>
          <w:p>
            <w:pPr>
              <w:spacing w:after="40"/>
            </w:pPr>
            <w:r/>
            <w:r>
              <w:rPr>
                <w:rFonts w:ascii="Calibri" w:hAnsi="Calibri"/>
                <w:color w:val="565656"/>
                <w:sz w:val="17"/>
              </w:rPr>
            </w:r>
          </w:p>
        </w:tc>
        <w:tc>
          <w:tcPr>
            <w:tcW w:type="dxa" w:w="1728"/>
          </w:tcPr>
          <w:p>
            <w:pPr>
              <w:spacing w:after="40"/>
            </w:pPr>
            <w:r/>
            <w:r>
              <w:rPr>
                <w:rFonts w:ascii="Calibri" w:hAnsi="Calibri"/>
                <w:color w:val="565656"/>
                <w:sz w:val="17"/>
              </w:rPr>
            </w:r>
          </w:p>
        </w:tc>
        <w:tc>
          <w:tcPr>
            <w:tcW w:type="dxa" w:w="1152"/>
          </w:tcPr>
          <w:p>
            <w:pPr>
              <w:spacing w:after="40"/>
            </w:pPr>
            <w:r/>
            <w:r>
              <w:rPr>
                <w:rFonts w:ascii="Calibri" w:hAnsi="Calibri"/>
                <w:color w:val="565656"/>
                <w:sz w:val="17"/>
              </w:rPr>
            </w:r>
          </w:p>
        </w:tc>
      </w:tr>
      <w:tr>
        <w:tc>
          <w:tcPr>
            <w:tcW w:type="dxa" w:w="432"/>
          </w:tcPr>
          <w:p>
            <w:pPr>
              <w:spacing w:after="40"/>
            </w:pPr>
            <w:r/>
            <w:r>
              <w:rPr>
                <w:rFonts w:ascii="Calibri" w:hAnsi="Calibri"/>
                <w:color w:val="565656"/>
                <w:sz w:val="17"/>
              </w:rPr>
              <w:t>5</w:t>
            </w:r>
          </w:p>
        </w:tc>
        <w:tc>
          <w:tcPr>
            <w:tcW w:type="dxa" w:w="2736"/>
          </w:tcPr>
          <w:p>
            <w:pPr>
              <w:spacing w:after="40"/>
            </w:pPr>
            <w:r/>
            <w:r>
              <w:rPr>
                <w:rFonts w:ascii="Calibri" w:hAnsi="Calibri"/>
                <w:color w:val="565656"/>
                <w:sz w:val="17"/>
              </w:rPr>
            </w:r>
          </w:p>
        </w:tc>
        <w:tc>
          <w:tcPr>
            <w:tcW w:type="dxa" w:w="1296"/>
          </w:tcPr>
          <w:p>
            <w:pPr>
              <w:spacing w:after="40"/>
            </w:pPr>
            <w:r/>
            <w:r>
              <w:rPr>
                <w:rFonts w:ascii="Calibri" w:hAnsi="Calibri"/>
                <w:color w:val="565656"/>
                <w:sz w:val="17"/>
              </w:rPr>
            </w:r>
          </w:p>
        </w:tc>
        <w:tc>
          <w:tcPr>
            <w:tcW w:type="dxa" w:w="1224"/>
          </w:tcPr>
          <w:p>
            <w:pPr>
              <w:spacing w:after="40"/>
            </w:pPr>
            <w:r/>
            <w:r>
              <w:rPr>
                <w:rFonts w:ascii="Calibri" w:hAnsi="Calibri"/>
                <w:color w:val="565656"/>
                <w:sz w:val="17"/>
              </w:rPr>
            </w:r>
          </w:p>
        </w:tc>
        <w:tc>
          <w:tcPr>
            <w:tcW w:type="dxa" w:w="1512"/>
          </w:tcPr>
          <w:p>
            <w:pPr>
              <w:spacing w:after="40"/>
            </w:pPr>
            <w:r/>
            <w:r>
              <w:rPr>
                <w:rFonts w:ascii="Calibri" w:hAnsi="Calibri"/>
                <w:color w:val="565656"/>
                <w:sz w:val="17"/>
              </w:rPr>
            </w:r>
          </w:p>
        </w:tc>
        <w:tc>
          <w:tcPr>
            <w:tcW w:type="dxa" w:w="1728"/>
          </w:tcPr>
          <w:p>
            <w:pPr>
              <w:spacing w:after="40"/>
            </w:pPr>
            <w:r/>
            <w:r>
              <w:rPr>
                <w:rFonts w:ascii="Calibri" w:hAnsi="Calibri"/>
                <w:color w:val="565656"/>
                <w:sz w:val="17"/>
              </w:rPr>
            </w:r>
          </w:p>
        </w:tc>
        <w:tc>
          <w:tcPr>
            <w:tcW w:type="dxa" w:w="1152"/>
          </w:tcPr>
          <w:p>
            <w:pPr>
              <w:spacing w:after="40"/>
            </w:pPr>
            <w:r/>
            <w:r>
              <w:rPr>
                <w:rFonts w:ascii="Calibri" w:hAnsi="Calibri"/>
                <w:color w:val="565656"/>
                <w:sz w:val="17"/>
              </w:rPr>
            </w:r>
          </w:p>
        </w:tc>
      </w:tr>
      <w:tr>
        <w:tc>
          <w:tcPr>
            <w:tcW w:type="dxa" w:w="432"/>
          </w:tcPr>
          <w:p>
            <w:pPr>
              <w:spacing w:after="40"/>
            </w:pPr>
            <w:r/>
            <w:r>
              <w:rPr>
                <w:rFonts w:ascii="Calibri" w:hAnsi="Calibri"/>
                <w:color w:val="565656"/>
                <w:sz w:val="17"/>
              </w:rPr>
              <w:t>6</w:t>
            </w:r>
          </w:p>
        </w:tc>
        <w:tc>
          <w:tcPr>
            <w:tcW w:type="dxa" w:w="2736"/>
          </w:tcPr>
          <w:p>
            <w:pPr>
              <w:spacing w:after="40"/>
            </w:pPr>
            <w:r/>
            <w:r>
              <w:rPr>
                <w:rFonts w:ascii="Calibri" w:hAnsi="Calibri"/>
                <w:color w:val="565656"/>
                <w:sz w:val="17"/>
              </w:rPr>
            </w:r>
          </w:p>
        </w:tc>
        <w:tc>
          <w:tcPr>
            <w:tcW w:type="dxa" w:w="1296"/>
          </w:tcPr>
          <w:p>
            <w:pPr>
              <w:spacing w:after="40"/>
            </w:pPr>
            <w:r/>
            <w:r>
              <w:rPr>
                <w:rFonts w:ascii="Calibri" w:hAnsi="Calibri"/>
                <w:color w:val="565656"/>
                <w:sz w:val="17"/>
              </w:rPr>
            </w:r>
          </w:p>
        </w:tc>
        <w:tc>
          <w:tcPr>
            <w:tcW w:type="dxa" w:w="1224"/>
          </w:tcPr>
          <w:p>
            <w:pPr>
              <w:spacing w:after="40"/>
            </w:pPr>
            <w:r/>
            <w:r>
              <w:rPr>
                <w:rFonts w:ascii="Calibri" w:hAnsi="Calibri"/>
                <w:color w:val="565656"/>
                <w:sz w:val="17"/>
              </w:rPr>
            </w:r>
          </w:p>
        </w:tc>
        <w:tc>
          <w:tcPr>
            <w:tcW w:type="dxa" w:w="1512"/>
          </w:tcPr>
          <w:p>
            <w:pPr>
              <w:spacing w:after="40"/>
            </w:pPr>
            <w:r/>
            <w:r>
              <w:rPr>
                <w:rFonts w:ascii="Calibri" w:hAnsi="Calibri"/>
                <w:color w:val="565656"/>
                <w:sz w:val="17"/>
              </w:rPr>
            </w:r>
          </w:p>
        </w:tc>
        <w:tc>
          <w:tcPr>
            <w:tcW w:type="dxa" w:w="1728"/>
          </w:tcPr>
          <w:p>
            <w:pPr>
              <w:spacing w:after="40"/>
            </w:pPr>
            <w:r/>
            <w:r>
              <w:rPr>
                <w:rFonts w:ascii="Calibri" w:hAnsi="Calibri"/>
                <w:color w:val="565656"/>
                <w:sz w:val="17"/>
              </w:rPr>
            </w:r>
          </w:p>
        </w:tc>
        <w:tc>
          <w:tcPr>
            <w:tcW w:type="dxa" w:w="1152"/>
          </w:tcPr>
          <w:p>
            <w:pPr>
              <w:spacing w:after="40"/>
            </w:pPr>
            <w:r/>
            <w:r>
              <w:rPr>
                <w:rFonts w:ascii="Calibri" w:hAnsi="Calibri"/>
                <w:color w:val="565656"/>
                <w:sz w:val="17"/>
              </w:rPr>
            </w:r>
          </w:p>
        </w:tc>
      </w:tr>
      <w:tr>
        <w:tc>
          <w:tcPr>
            <w:tcW w:type="dxa" w:w="432"/>
          </w:tcPr>
          <w:p>
            <w:pPr>
              <w:spacing w:after="40"/>
            </w:pPr>
            <w:r/>
            <w:r>
              <w:rPr>
                <w:rFonts w:ascii="Calibri" w:hAnsi="Calibri"/>
                <w:color w:val="565656"/>
                <w:sz w:val="17"/>
              </w:rPr>
              <w:t>7</w:t>
            </w:r>
          </w:p>
        </w:tc>
        <w:tc>
          <w:tcPr>
            <w:tcW w:type="dxa" w:w="2736"/>
          </w:tcPr>
          <w:p>
            <w:pPr>
              <w:spacing w:after="40"/>
            </w:pPr>
            <w:r/>
            <w:r>
              <w:rPr>
                <w:rFonts w:ascii="Calibri" w:hAnsi="Calibri"/>
                <w:color w:val="565656"/>
                <w:sz w:val="17"/>
              </w:rPr>
            </w:r>
          </w:p>
        </w:tc>
        <w:tc>
          <w:tcPr>
            <w:tcW w:type="dxa" w:w="1296"/>
          </w:tcPr>
          <w:p>
            <w:pPr>
              <w:spacing w:after="40"/>
            </w:pPr>
            <w:r/>
            <w:r>
              <w:rPr>
                <w:rFonts w:ascii="Calibri" w:hAnsi="Calibri"/>
                <w:color w:val="565656"/>
                <w:sz w:val="17"/>
              </w:rPr>
            </w:r>
          </w:p>
        </w:tc>
        <w:tc>
          <w:tcPr>
            <w:tcW w:type="dxa" w:w="1224"/>
          </w:tcPr>
          <w:p>
            <w:pPr>
              <w:spacing w:after="40"/>
            </w:pPr>
            <w:r/>
            <w:r>
              <w:rPr>
                <w:rFonts w:ascii="Calibri" w:hAnsi="Calibri"/>
                <w:color w:val="565656"/>
                <w:sz w:val="17"/>
              </w:rPr>
            </w:r>
          </w:p>
        </w:tc>
        <w:tc>
          <w:tcPr>
            <w:tcW w:type="dxa" w:w="1512"/>
          </w:tcPr>
          <w:p>
            <w:pPr>
              <w:spacing w:after="40"/>
            </w:pPr>
            <w:r/>
            <w:r>
              <w:rPr>
                <w:rFonts w:ascii="Calibri" w:hAnsi="Calibri"/>
                <w:color w:val="565656"/>
                <w:sz w:val="17"/>
              </w:rPr>
            </w:r>
          </w:p>
        </w:tc>
        <w:tc>
          <w:tcPr>
            <w:tcW w:type="dxa" w:w="1728"/>
          </w:tcPr>
          <w:p>
            <w:pPr>
              <w:spacing w:after="40"/>
            </w:pPr>
            <w:r/>
            <w:r>
              <w:rPr>
                <w:rFonts w:ascii="Calibri" w:hAnsi="Calibri"/>
                <w:color w:val="565656"/>
                <w:sz w:val="17"/>
              </w:rPr>
            </w:r>
          </w:p>
        </w:tc>
        <w:tc>
          <w:tcPr>
            <w:tcW w:type="dxa" w:w="1152"/>
          </w:tcPr>
          <w:p>
            <w:pPr>
              <w:spacing w:after="40"/>
            </w:pPr>
            <w:r/>
            <w:r>
              <w:rPr>
                <w:rFonts w:ascii="Calibri" w:hAnsi="Calibri"/>
                <w:color w:val="565656"/>
                <w:sz w:val="17"/>
              </w:rPr>
            </w:r>
          </w:p>
        </w:tc>
      </w:tr>
      <w:tr>
        <w:tc>
          <w:tcPr>
            <w:tcW w:type="dxa" w:w="432"/>
          </w:tcPr>
          <w:p>
            <w:pPr>
              <w:spacing w:after="40"/>
            </w:pPr>
            <w:r/>
            <w:r>
              <w:rPr>
                <w:rFonts w:ascii="Calibri" w:hAnsi="Calibri"/>
                <w:color w:val="565656"/>
                <w:sz w:val="17"/>
              </w:rPr>
              <w:t>8</w:t>
            </w:r>
          </w:p>
        </w:tc>
        <w:tc>
          <w:tcPr>
            <w:tcW w:type="dxa" w:w="2736"/>
          </w:tcPr>
          <w:p>
            <w:pPr>
              <w:spacing w:after="40"/>
            </w:pPr>
            <w:r/>
            <w:r>
              <w:rPr>
                <w:rFonts w:ascii="Calibri" w:hAnsi="Calibri"/>
                <w:color w:val="565656"/>
                <w:sz w:val="17"/>
              </w:rPr>
            </w:r>
          </w:p>
        </w:tc>
        <w:tc>
          <w:tcPr>
            <w:tcW w:type="dxa" w:w="1296"/>
          </w:tcPr>
          <w:p>
            <w:pPr>
              <w:spacing w:after="40"/>
            </w:pPr>
            <w:r/>
            <w:r>
              <w:rPr>
                <w:rFonts w:ascii="Calibri" w:hAnsi="Calibri"/>
                <w:color w:val="565656"/>
                <w:sz w:val="17"/>
              </w:rPr>
            </w:r>
          </w:p>
        </w:tc>
        <w:tc>
          <w:tcPr>
            <w:tcW w:type="dxa" w:w="1224"/>
          </w:tcPr>
          <w:p>
            <w:pPr>
              <w:spacing w:after="40"/>
            </w:pPr>
            <w:r/>
            <w:r>
              <w:rPr>
                <w:rFonts w:ascii="Calibri" w:hAnsi="Calibri"/>
                <w:color w:val="565656"/>
                <w:sz w:val="17"/>
              </w:rPr>
            </w:r>
          </w:p>
        </w:tc>
        <w:tc>
          <w:tcPr>
            <w:tcW w:type="dxa" w:w="1512"/>
          </w:tcPr>
          <w:p>
            <w:pPr>
              <w:spacing w:after="40"/>
            </w:pPr>
            <w:r/>
            <w:r>
              <w:rPr>
                <w:rFonts w:ascii="Calibri" w:hAnsi="Calibri"/>
                <w:color w:val="565656"/>
                <w:sz w:val="17"/>
              </w:rPr>
            </w:r>
          </w:p>
        </w:tc>
        <w:tc>
          <w:tcPr>
            <w:tcW w:type="dxa" w:w="1728"/>
          </w:tcPr>
          <w:p>
            <w:pPr>
              <w:spacing w:after="40"/>
            </w:pPr>
            <w:r/>
            <w:r>
              <w:rPr>
                <w:rFonts w:ascii="Calibri" w:hAnsi="Calibri"/>
                <w:color w:val="565656"/>
                <w:sz w:val="17"/>
              </w:rPr>
            </w:r>
          </w:p>
        </w:tc>
        <w:tc>
          <w:tcPr>
            <w:tcW w:type="dxa" w:w="1152"/>
          </w:tcPr>
          <w:p>
            <w:pPr>
              <w:spacing w:after="40"/>
            </w:pPr>
            <w:r/>
            <w:r>
              <w:rPr>
                <w:rFonts w:ascii="Calibri" w:hAnsi="Calibri"/>
                <w:color w:val="565656"/>
                <w:sz w:val="17"/>
              </w:rPr>
            </w:r>
          </w:p>
        </w:tc>
      </w:tr>
      <w:tr>
        <w:tc>
          <w:tcPr>
            <w:tcW w:type="dxa" w:w="432"/>
          </w:tcPr>
          <w:p>
            <w:pPr>
              <w:spacing w:after="40"/>
            </w:pPr>
            <w:r/>
            <w:r>
              <w:rPr>
                <w:rFonts w:ascii="Calibri" w:hAnsi="Calibri"/>
                <w:color w:val="565656"/>
                <w:sz w:val="17"/>
              </w:rPr>
              <w:t>9</w:t>
            </w:r>
          </w:p>
        </w:tc>
        <w:tc>
          <w:tcPr>
            <w:tcW w:type="dxa" w:w="2736"/>
          </w:tcPr>
          <w:p>
            <w:pPr>
              <w:spacing w:after="40"/>
            </w:pPr>
            <w:r/>
            <w:r>
              <w:rPr>
                <w:rFonts w:ascii="Calibri" w:hAnsi="Calibri"/>
                <w:color w:val="565656"/>
                <w:sz w:val="17"/>
              </w:rPr>
            </w:r>
          </w:p>
        </w:tc>
        <w:tc>
          <w:tcPr>
            <w:tcW w:type="dxa" w:w="1296"/>
          </w:tcPr>
          <w:p>
            <w:pPr>
              <w:spacing w:after="40"/>
            </w:pPr>
            <w:r/>
            <w:r>
              <w:rPr>
                <w:rFonts w:ascii="Calibri" w:hAnsi="Calibri"/>
                <w:color w:val="565656"/>
                <w:sz w:val="17"/>
              </w:rPr>
            </w:r>
          </w:p>
        </w:tc>
        <w:tc>
          <w:tcPr>
            <w:tcW w:type="dxa" w:w="1224"/>
          </w:tcPr>
          <w:p>
            <w:pPr>
              <w:spacing w:after="40"/>
            </w:pPr>
            <w:r/>
            <w:r>
              <w:rPr>
                <w:rFonts w:ascii="Calibri" w:hAnsi="Calibri"/>
                <w:color w:val="565656"/>
                <w:sz w:val="17"/>
              </w:rPr>
            </w:r>
          </w:p>
        </w:tc>
        <w:tc>
          <w:tcPr>
            <w:tcW w:type="dxa" w:w="1512"/>
          </w:tcPr>
          <w:p>
            <w:pPr>
              <w:spacing w:after="40"/>
            </w:pPr>
            <w:r/>
            <w:r>
              <w:rPr>
                <w:rFonts w:ascii="Calibri" w:hAnsi="Calibri"/>
                <w:color w:val="565656"/>
                <w:sz w:val="17"/>
              </w:rPr>
            </w:r>
          </w:p>
        </w:tc>
        <w:tc>
          <w:tcPr>
            <w:tcW w:type="dxa" w:w="1728"/>
          </w:tcPr>
          <w:p>
            <w:pPr>
              <w:spacing w:after="40"/>
            </w:pPr>
            <w:r/>
            <w:r>
              <w:rPr>
                <w:rFonts w:ascii="Calibri" w:hAnsi="Calibri"/>
                <w:color w:val="565656"/>
                <w:sz w:val="17"/>
              </w:rPr>
            </w:r>
          </w:p>
        </w:tc>
        <w:tc>
          <w:tcPr>
            <w:tcW w:type="dxa" w:w="1152"/>
          </w:tcPr>
          <w:p>
            <w:pPr>
              <w:spacing w:after="40"/>
            </w:pPr>
            <w:r/>
            <w:r>
              <w:rPr>
                <w:rFonts w:ascii="Calibri" w:hAnsi="Calibri"/>
                <w:color w:val="565656"/>
                <w:sz w:val="17"/>
              </w:rPr>
            </w:r>
          </w:p>
        </w:tc>
      </w:tr>
      <w:tr>
        <w:tc>
          <w:tcPr>
            <w:tcW w:type="dxa" w:w="432"/>
          </w:tcPr>
          <w:p>
            <w:pPr>
              <w:spacing w:after="40"/>
            </w:pPr>
            <w:r/>
            <w:r>
              <w:rPr>
                <w:rFonts w:ascii="Calibri" w:hAnsi="Calibri"/>
                <w:color w:val="565656"/>
                <w:sz w:val="17"/>
              </w:rPr>
              <w:t>10</w:t>
            </w:r>
          </w:p>
        </w:tc>
        <w:tc>
          <w:tcPr>
            <w:tcW w:type="dxa" w:w="2736"/>
          </w:tcPr>
          <w:p>
            <w:pPr>
              <w:spacing w:after="40"/>
            </w:pPr>
            <w:r/>
            <w:r>
              <w:rPr>
                <w:rFonts w:ascii="Calibri" w:hAnsi="Calibri"/>
                <w:color w:val="565656"/>
                <w:sz w:val="17"/>
              </w:rPr>
            </w:r>
          </w:p>
        </w:tc>
        <w:tc>
          <w:tcPr>
            <w:tcW w:type="dxa" w:w="1296"/>
          </w:tcPr>
          <w:p>
            <w:pPr>
              <w:spacing w:after="40"/>
            </w:pPr>
            <w:r/>
            <w:r>
              <w:rPr>
                <w:rFonts w:ascii="Calibri" w:hAnsi="Calibri"/>
                <w:color w:val="565656"/>
                <w:sz w:val="17"/>
              </w:rPr>
            </w:r>
          </w:p>
        </w:tc>
        <w:tc>
          <w:tcPr>
            <w:tcW w:type="dxa" w:w="1224"/>
          </w:tcPr>
          <w:p>
            <w:pPr>
              <w:spacing w:after="40"/>
            </w:pPr>
            <w:r/>
            <w:r>
              <w:rPr>
                <w:rFonts w:ascii="Calibri" w:hAnsi="Calibri"/>
                <w:color w:val="565656"/>
                <w:sz w:val="17"/>
              </w:rPr>
            </w:r>
          </w:p>
        </w:tc>
        <w:tc>
          <w:tcPr>
            <w:tcW w:type="dxa" w:w="1512"/>
          </w:tcPr>
          <w:p>
            <w:pPr>
              <w:spacing w:after="40"/>
            </w:pPr>
            <w:r/>
            <w:r>
              <w:rPr>
                <w:rFonts w:ascii="Calibri" w:hAnsi="Calibri"/>
                <w:color w:val="565656"/>
                <w:sz w:val="17"/>
              </w:rPr>
            </w:r>
          </w:p>
        </w:tc>
        <w:tc>
          <w:tcPr>
            <w:tcW w:type="dxa" w:w="1728"/>
          </w:tcPr>
          <w:p>
            <w:pPr>
              <w:spacing w:after="40"/>
            </w:pPr>
            <w:r/>
            <w:r>
              <w:rPr>
                <w:rFonts w:ascii="Calibri" w:hAnsi="Calibri"/>
                <w:color w:val="565656"/>
                <w:sz w:val="17"/>
              </w:rPr>
            </w:r>
          </w:p>
        </w:tc>
        <w:tc>
          <w:tcPr>
            <w:tcW w:type="dxa" w:w="1152"/>
          </w:tcPr>
          <w:p>
            <w:pPr>
              <w:spacing w:after="40"/>
            </w:pPr>
            <w:r/>
            <w:r>
              <w:rPr>
                <w:rFonts w:ascii="Calibri" w:hAnsi="Calibri"/>
                <w:color w:val="565656"/>
                <w:sz w:val="17"/>
              </w:rPr>
            </w:r>
          </w:p>
        </w:tc>
      </w:tr>
    </w:tbl>
    <w:p>
      <w:r>
        <w:br w:type="page"/>
      </w:r>
    </w:p>
    <w:p>
      <w:pPr>
        <w:pStyle w:val="Heading1"/>
        <w:keepNext/>
        <w:spacing w:after="200" w:before="80"/>
        <w:ind w:left="115"/>
        <w:shd w:val="clear" w:fill="0069A4"/>
      </w:pPr>
      <w:r>
        <w:rPr>
          <w:rFonts w:ascii="Calibri" w:hAnsi="Calibri"/>
          <w:b/>
          <w:color w:val="FFFFFF"/>
          <w:sz w:val="20"/>
        </w:rPr>
        <w:t>FORMAT 10  ·  ANNUAL COMPLIANCE CALENDAR</w:t>
      </w:r>
    </w:p>
    <w:p>
      <w:pPr>
        <w:keepNext w:val="0"/>
        <w:spacing w:after="160" w:before="0"/>
        <w:ind w:left="144"/>
        <w:shd w:val="clear" w:fill="F4FAFE"/>
      </w:pPr>
      <w:r>
        <w:rPr>
          <w:rFonts w:ascii="Calibri" w:hAnsi="Calibri"/>
          <w:b w:val="0"/>
          <w:i/>
          <w:color w:val="565656"/>
          <w:sz w:val="18"/>
        </w:rPr>
        <w:t>Meetings due, tenure expiry, and the review of whether a changed headcount has moved you onto a different limb.</w:t>
      </w:r>
    </w:p>
    <w:p>
      <w:pPr>
        <w:keepNext w:val="0"/>
        <w:spacing w:after="40" w:before="0"/>
      </w:pPr>
      <w:r>
        <w:rPr>
          <w:rFonts w:ascii="Calibri" w:hAnsi="Calibri"/>
          <w:b/>
          <w:i w:val="0"/>
          <w:color w:val="1D1D1D"/>
          <w:sz w:val="26"/>
        </w:rPr>
        <w:t>ANNUAL COMPLIANCE CALENDAR</w:t>
      </w:r>
    </w:p>
    <w:p>
      <w:pPr>
        <w:keepNext w:val="0"/>
        <w:spacing w:after="200" w:before="0"/>
      </w:pPr>
      <w:r>
        <w:rPr>
          <w:rFonts w:ascii="Calibri" w:hAnsi="Calibri"/>
          <w:b w:val="0"/>
          <w:i w:val="0"/>
          <w:color w:val="565656"/>
          <w:sz w:val="19"/>
        </w:rPr>
        <w:t>[COMPANY NAME]  ·  Year [YYYY]</w:t>
      </w:r>
    </w:p>
    <w:tbl>
      <w:tblPr>
        <w:tblStyle w:val="TableGrid"/>
        <w:tblW w:type="auto" w:w="0"/>
        <w:tblLook w:firstColumn="1" w:firstRow="1" w:lastColumn="0" w:lastRow="0" w:noHBand="0" w:noVBand="1" w:val="04A0"/>
      </w:tblPr>
      <w:tblGrid>
        <w:gridCol w:w="2412"/>
        <w:gridCol w:w="2412"/>
        <w:gridCol w:w="2412"/>
        <w:gridCol w:w="2412"/>
      </w:tblGrid>
      <w:tr>
        <w:tc>
          <w:tcPr>
            <w:tcW w:type="dxa" w:w="2016"/>
          </w:tcPr>
          <w:p>
            <w:pPr>
              <w:spacing w:after="40"/>
              <w:shd w:val="clear" w:fill="E8F4FC"/>
            </w:pPr>
            <w:r/>
            <w:r>
              <w:rPr>
                <w:rFonts w:ascii="Calibri" w:hAnsi="Calibri"/>
                <w:b/>
                <w:color w:val="0069A4"/>
                <w:sz w:val="18"/>
              </w:rPr>
              <w:t>When</w:t>
            </w:r>
          </w:p>
        </w:tc>
        <w:tc>
          <w:tcPr>
            <w:tcW w:type="dxa" w:w="3744"/>
          </w:tcPr>
          <w:p>
            <w:pPr>
              <w:spacing w:after="40"/>
              <w:shd w:val="clear" w:fill="E8F4FC"/>
            </w:pPr>
            <w:r/>
            <w:r>
              <w:rPr>
                <w:rFonts w:ascii="Calibri" w:hAnsi="Calibri"/>
                <w:b/>
                <w:color w:val="0069A4"/>
                <w:sz w:val="18"/>
              </w:rPr>
              <w:t>What is due</w:t>
            </w:r>
          </w:p>
        </w:tc>
        <w:tc>
          <w:tcPr>
            <w:tcW w:type="dxa" w:w="2160"/>
          </w:tcPr>
          <w:p>
            <w:pPr>
              <w:spacing w:after="40"/>
              <w:shd w:val="clear" w:fill="E8F4FC"/>
            </w:pPr>
            <w:r/>
            <w:r>
              <w:rPr>
                <w:rFonts w:ascii="Calibri" w:hAnsi="Calibri"/>
                <w:b/>
                <w:color w:val="0069A4"/>
                <w:sz w:val="18"/>
              </w:rPr>
              <w:t>Provision</w:t>
            </w:r>
          </w:p>
        </w:tc>
        <w:tc>
          <w:tcPr>
            <w:tcW w:type="dxa" w:w="1440"/>
          </w:tcPr>
          <w:p>
            <w:pPr>
              <w:spacing w:after="40"/>
              <w:shd w:val="clear" w:fill="E8F4FC"/>
            </w:pPr>
            <w:r/>
            <w:r>
              <w:rPr>
                <w:rFonts w:ascii="Calibri" w:hAnsi="Calibri"/>
                <w:b/>
                <w:color w:val="0069A4"/>
                <w:sz w:val="18"/>
              </w:rPr>
              <w:t>Done on</w:t>
            </w:r>
          </w:p>
        </w:tc>
      </w:tr>
      <w:tr>
        <w:tc>
          <w:tcPr>
            <w:tcW w:type="dxa" w:w="2016"/>
          </w:tcPr>
          <w:p>
            <w:pPr>
              <w:spacing w:after="40"/>
            </w:pPr>
            <w:r/>
            <w:r>
              <w:rPr>
                <w:rFonts w:ascii="Calibri" w:hAnsi="Calibri"/>
                <w:color w:val="565656"/>
                <w:sz w:val="18"/>
              </w:rPr>
              <w:t>Q1</w:t>
            </w:r>
          </w:p>
        </w:tc>
        <w:tc>
          <w:tcPr>
            <w:tcW w:type="dxa" w:w="3744"/>
          </w:tcPr>
          <w:p>
            <w:pPr>
              <w:spacing w:after="40"/>
            </w:pPr>
            <w:r/>
            <w:r>
              <w:rPr>
                <w:rFonts w:ascii="Calibri" w:hAnsi="Calibri"/>
                <w:color w:val="565656"/>
                <w:sz w:val="18"/>
              </w:rPr>
              <w:t>Safety Committee meeting</w:t>
            </w:r>
          </w:p>
        </w:tc>
        <w:tc>
          <w:tcPr>
            <w:tcW w:type="dxa" w:w="2160"/>
          </w:tcPr>
          <w:p>
            <w:pPr>
              <w:spacing w:after="40"/>
            </w:pPr>
            <w:r/>
            <w:r>
              <w:rPr>
                <w:rFonts w:ascii="Calibri" w:hAnsi="Calibri"/>
                <w:color w:val="565656"/>
                <w:sz w:val="18"/>
              </w:rPr>
              <w:t>rule 14(3)</w:t>
            </w:r>
          </w:p>
        </w:tc>
        <w:tc>
          <w:tcPr>
            <w:tcW w:type="dxa" w:w="1440"/>
          </w:tcPr>
          <w:p>
            <w:pPr>
              <w:spacing w:after="40"/>
            </w:pPr>
            <w:r/>
            <w:r>
              <w:rPr>
                <w:rFonts w:ascii="Calibri" w:hAnsi="Calibri"/>
                <w:color w:val="565656"/>
                <w:sz w:val="18"/>
              </w:rPr>
            </w:r>
          </w:p>
        </w:tc>
      </w:tr>
      <w:tr>
        <w:tc>
          <w:tcPr>
            <w:tcW w:type="dxa" w:w="2016"/>
          </w:tcPr>
          <w:p>
            <w:pPr>
              <w:spacing w:after="40"/>
            </w:pPr>
            <w:r/>
            <w:r>
              <w:rPr>
                <w:rFonts w:ascii="Calibri" w:hAnsi="Calibri"/>
                <w:color w:val="565656"/>
                <w:sz w:val="18"/>
              </w:rPr>
              <w:t>Q2</w:t>
            </w:r>
          </w:p>
        </w:tc>
        <w:tc>
          <w:tcPr>
            <w:tcW w:type="dxa" w:w="3744"/>
          </w:tcPr>
          <w:p>
            <w:pPr>
              <w:spacing w:after="40"/>
            </w:pPr>
            <w:r/>
            <w:r>
              <w:rPr>
                <w:rFonts w:ascii="Calibri" w:hAnsi="Calibri"/>
                <w:color w:val="565656"/>
                <w:sz w:val="18"/>
              </w:rPr>
              <w:t>Safety Committee meeting</w:t>
            </w:r>
          </w:p>
        </w:tc>
        <w:tc>
          <w:tcPr>
            <w:tcW w:type="dxa" w:w="2160"/>
          </w:tcPr>
          <w:p>
            <w:pPr>
              <w:spacing w:after="40"/>
            </w:pPr>
            <w:r/>
            <w:r>
              <w:rPr>
                <w:rFonts w:ascii="Calibri" w:hAnsi="Calibri"/>
                <w:color w:val="565656"/>
                <w:sz w:val="18"/>
              </w:rPr>
              <w:t>rule 14(3)</w:t>
            </w:r>
          </w:p>
        </w:tc>
        <w:tc>
          <w:tcPr>
            <w:tcW w:type="dxa" w:w="1440"/>
          </w:tcPr>
          <w:p>
            <w:pPr>
              <w:spacing w:after="40"/>
            </w:pPr>
            <w:r/>
            <w:r>
              <w:rPr>
                <w:rFonts w:ascii="Calibri" w:hAnsi="Calibri"/>
                <w:color w:val="565656"/>
                <w:sz w:val="18"/>
              </w:rPr>
            </w:r>
          </w:p>
        </w:tc>
      </w:tr>
      <w:tr>
        <w:tc>
          <w:tcPr>
            <w:tcW w:type="dxa" w:w="2016"/>
          </w:tcPr>
          <w:p>
            <w:pPr>
              <w:spacing w:after="40"/>
            </w:pPr>
            <w:r/>
            <w:r>
              <w:rPr>
                <w:rFonts w:ascii="Calibri" w:hAnsi="Calibri"/>
                <w:color w:val="565656"/>
                <w:sz w:val="18"/>
              </w:rPr>
              <w:t>Q3</w:t>
            </w:r>
          </w:p>
        </w:tc>
        <w:tc>
          <w:tcPr>
            <w:tcW w:type="dxa" w:w="3744"/>
          </w:tcPr>
          <w:p>
            <w:pPr>
              <w:spacing w:after="40"/>
            </w:pPr>
            <w:r/>
            <w:r>
              <w:rPr>
                <w:rFonts w:ascii="Calibri" w:hAnsi="Calibri"/>
                <w:color w:val="565656"/>
                <w:sz w:val="18"/>
              </w:rPr>
              <w:t>Safety Committee meeting</w:t>
            </w:r>
          </w:p>
        </w:tc>
        <w:tc>
          <w:tcPr>
            <w:tcW w:type="dxa" w:w="2160"/>
          </w:tcPr>
          <w:p>
            <w:pPr>
              <w:spacing w:after="40"/>
            </w:pPr>
            <w:r/>
            <w:r>
              <w:rPr>
                <w:rFonts w:ascii="Calibri" w:hAnsi="Calibri"/>
                <w:color w:val="565656"/>
                <w:sz w:val="18"/>
              </w:rPr>
              <w:t>rule 14(3)</w:t>
            </w:r>
          </w:p>
        </w:tc>
        <w:tc>
          <w:tcPr>
            <w:tcW w:type="dxa" w:w="1440"/>
          </w:tcPr>
          <w:p>
            <w:pPr>
              <w:spacing w:after="40"/>
            </w:pPr>
            <w:r/>
            <w:r>
              <w:rPr>
                <w:rFonts w:ascii="Calibri" w:hAnsi="Calibri"/>
                <w:color w:val="565656"/>
                <w:sz w:val="18"/>
              </w:rPr>
            </w:r>
          </w:p>
        </w:tc>
      </w:tr>
      <w:tr>
        <w:tc>
          <w:tcPr>
            <w:tcW w:type="dxa" w:w="2016"/>
          </w:tcPr>
          <w:p>
            <w:pPr>
              <w:spacing w:after="40"/>
            </w:pPr>
            <w:r/>
            <w:r>
              <w:rPr>
                <w:rFonts w:ascii="Calibri" w:hAnsi="Calibri"/>
                <w:color w:val="565656"/>
                <w:sz w:val="18"/>
              </w:rPr>
              <w:t>Q4</w:t>
            </w:r>
          </w:p>
        </w:tc>
        <w:tc>
          <w:tcPr>
            <w:tcW w:type="dxa" w:w="3744"/>
          </w:tcPr>
          <w:p>
            <w:pPr>
              <w:spacing w:after="40"/>
            </w:pPr>
            <w:r/>
            <w:r>
              <w:rPr>
                <w:rFonts w:ascii="Calibri" w:hAnsi="Calibri"/>
                <w:color w:val="565656"/>
                <w:sz w:val="18"/>
              </w:rPr>
              <w:t>Safety Committee meeting</w:t>
            </w:r>
          </w:p>
        </w:tc>
        <w:tc>
          <w:tcPr>
            <w:tcW w:type="dxa" w:w="2160"/>
          </w:tcPr>
          <w:p>
            <w:pPr>
              <w:spacing w:after="40"/>
            </w:pPr>
            <w:r/>
            <w:r>
              <w:rPr>
                <w:rFonts w:ascii="Calibri" w:hAnsi="Calibri"/>
                <w:color w:val="565656"/>
                <w:sz w:val="18"/>
              </w:rPr>
              <w:t>rule 14(3)</w:t>
            </w:r>
          </w:p>
        </w:tc>
        <w:tc>
          <w:tcPr>
            <w:tcW w:type="dxa" w:w="1440"/>
          </w:tcPr>
          <w:p>
            <w:pPr>
              <w:spacing w:after="40"/>
            </w:pPr>
            <w:r/>
            <w:r>
              <w:rPr>
                <w:rFonts w:ascii="Calibri" w:hAnsi="Calibri"/>
                <w:color w:val="565656"/>
                <w:sz w:val="18"/>
              </w:rPr>
            </w:r>
          </w:p>
        </w:tc>
      </w:tr>
      <w:tr>
        <w:tc>
          <w:tcPr>
            <w:tcW w:type="dxa" w:w="2016"/>
          </w:tcPr>
          <w:p>
            <w:pPr>
              <w:spacing w:after="40"/>
            </w:pPr>
            <w:r/>
            <w:r>
              <w:rPr>
                <w:rFonts w:ascii="Calibri" w:hAnsi="Calibri"/>
                <w:color w:val="565656"/>
                <w:sz w:val="18"/>
              </w:rPr>
              <w:t>Monthly, mines only</w:t>
            </w:r>
          </w:p>
        </w:tc>
        <w:tc>
          <w:tcPr>
            <w:tcW w:type="dxa" w:w="3744"/>
          </w:tcPr>
          <w:p>
            <w:pPr>
              <w:spacing w:after="40"/>
            </w:pPr>
            <w:r/>
            <w:r>
              <w:rPr>
                <w:rFonts w:ascii="Calibri" w:hAnsi="Calibri"/>
                <w:color w:val="565656"/>
                <w:sz w:val="18"/>
              </w:rPr>
              <w:t>Safety Committee meeting</w:t>
            </w:r>
          </w:p>
        </w:tc>
        <w:tc>
          <w:tcPr>
            <w:tcW w:type="dxa" w:w="2160"/>
          </w:tcPr>
          <w:p>
            <w:pPr>
              <w:spacing w:after="40"/>
            </w:pPr>
            <w:r/>
            <w:r>
              <w:rPr>
                <w:rFonts w:ascii="Calibri" w:hAnsi="Calibri"/>
                <w:color w:val="565656"/>
                <w:sz w:val="18"/>
              </w:rPr>
              <w:t>rule 14(3) proviso</w:t>
            </w:r>
          </w:p>
        </w:tc>
        <w:tc>
          <w:tcPr>
            <w:tcW w:type="dxa" w:w="1440"/>
          </w:tcPr>
          <w:p>
            <w:pPr>
              <w:spacing w:after="40"/>
            </w:pPr>
            <w:r/>
            <w:r>
              <w:rPr>
                <w:rFonts w:ascii="Calibri" w:hAnsi="Calibri"/>
                <w:color w:val="565656"/>
                <w:sz w:val="18"/>
              </w:rPr>
            </w:r>
          </w:p>
        </w:tc>
      </w:tr>
      <w:tr>
        <w:tc>
          <w:tcPr>
            <w:tcW w:type="dxa" w:w="2016"/>
          </w:tcPr>
          <w:p>
            <w:pPr>
              <w:spacing w:after="40"/>
            </w:pPr>
            <w:r/>
            <w:r>
              <w:rPr>
                <w:rFonts w:ascii="Calibri" w:hAnsi="Calibri"/>
                <w:color w:val="565656"/>
                <w:sz w:val="18"/>
              </w:rPr>
              <w:t>Annually</w:t>
            </w:r>
          </w:p>
        </w:tc>
        <w:tc>
          <w:tcPr>
            <w:tcW w:type="dxa" w:w="3744"/>
          </w:tcPr>
          <w:p>
            <w:pPr>
              <w:spacing w:after="40"/>
            </w:pPr>
            <w:r/>
            <w:r>
              <w:rPr>
                <w:rFonts w:ascii="Calibri" w:hAnsi="Calibri"/>
                <w:color w:val="565656"/>
                <w:sz w:val="18"/>
              </w:rPr>
              <w:t>Re-run the threshold worksheet, Format 01</w:t>
            </w:r>
          </w:p>
        </w:tc>
        <w:tc>
          <w:tcPr>
            <w:tcW w:type="dxa" w:w="2160"/>
          </w:tcPr>
          <w:p>
            <w:pPr>
              <w:spacing w:after="40"/>
            </w:pPr>
            <w:r/>
            <w:r>
              <w:rPr>
                <w:rFonts w:ascii="Calibri" w:hAnsi="Calibri"/>
                <w:color w:val="565656"/>
                <w:sz w:val="18"/>
              </w:rPr>
              <w:t>s.22(2)</w:t>
            </w:r>
          </w:p>
        </w:tc>
        <w:tc>
          <w:tcPr>
            <w:tcW w:type="dxa" w:w="1440"/>
          </w:tcPr>
          <w:p>
            <w:pPr>
              <w:spacing w:after="40"/>
            </w:pPr>
            <w:r/>
            <w:r>
              <w:rPr>
                <w:rFonts w:ascii="Calibri" w:hAnsi="Calibri"/>
                <w:color w:val="565656"/>
                <w:sz w:val="18"/>
              </w:rPr>
            </w:r>
          </w:p>
        </w:tc>
      </w:tr>
      <w:tr>
        <w:tc>
          <w:tcPr>
            <w:tcW w:type="dxa" w:w="2016"/>
          </w:tcPr>
          <w:p>
            <w:pPr>
              <w:spacing w:after="40"/>
            </w:pPr>
            <w:r/>
            <w:r>
              <w:rPr>
                <w:rFonts w:ascii="Calibri" w:hAnsi="Calibri"/>
                <w:color w:val="565656"/>
                <w:sz w:val="18"/>
              </w:rPr>
              <w:t>On the third anniversary</w:t>
            </w:r>
          </w:p>
        </w:tc>
        <w:tc>
          <w:tcPr>
            <w:tcW w:type="dxa" w:w="3744"/>
          </w:tcPr>
          <w:p>
            <w:pPr>
              <w:spacing w:after="40"/>
            </w:pPr>
            <w:r/>
            <w:r>
              <w:rPr>
                <w:rFonts w:ascii="Calibri" w:hAnsi="Calibri"/>
                <w:color w:val="565656"/>
                <w:sz w:val="18"/>
              </w:rPr>
              <w:t>Committee tenure expires, reconstitute</w:t>
            </w:r>
          </w:p>
        </w:tc>
        <w:tc>
          <w:tcPr>
            <w:tcW w:type="dxa" w:w="2160"/>
          </w:tcPr>
          <w:p>
            <w:pPr>
              <w:spacing w:after="40"/>
            </w:pPr>
            <w:r/>
            <w:r>
              <w:rPr>
                <w:rFonts w:ascii="Calibri" w:hAnsi="Calibri"/>
                <w:color w:val="565656"/>
                <w:sz w:val="18"/>
              </w:rPr>
              <w:t>rule 14(3)</w:t>
            </w:r>
          </w:p>
        </w:tc>
        <w:tc>
          <w:tcPr>
            <w:tcW w:type="dxa" w:w="1440"/>
          </w:tcPr>
          <w:p>
            <w:pPr>
              <w:spacing w:after="40"/>
            </w:pPr>
            <w:r/>
            <w:r>
              <w:rPr>
                <w:rFonts w:ascii="Calibri" w:hAnsi="Calibri"/>
                <w:color w:val="565656"/>
                <w:sz w:val="18"/>
              </w:rPr>
            </w:r>
          </w:p>
        </w:tc>
      </w:tr>
      <w:tr>
        <w:tc>
          <w:tcPr>
            <w:tcW w:type="dxa" w:w="2016"/>
          </w:tcPr>
          <w:p>
            <w:pPr>
              <w:spacing w:after="40"/>
            </w:pPr>
            <w:r/>
            <w:r>
              <w:rPr>
                <w:rFonts w:ascii="Calibri" w:hAnsi="Calibri"/>
                <w:color w:val="565656"/>
                <w:sz w:val="18"/>
              </w:rPr>
              <w:t>On any change of officer</w:t>
            </w:r>
          </w:p>
        </w:tc>
        <w:tc>
          <w:tcPr>
            <w:tcW w:type="dxa" w:w="3744"/>
          </w:tcPr>
          <w:p>
            <w:pPr>
              <w:spacing w:after="40"/>
            </w:pPr>
            <w:r/>
            <w:r>
              <w:rPr>
                <w:rFonts w:ascii="Calibri" w:hAnsi="Calibri"/>
                <w:color w:val="565656"/>
                <w:sz w:val="18"/>
              </w:rPr>
              <w:t>New appointment letter and qualification record</w:t>
            </w:r>
          </w:p>
        </w:tc>
        <w:tc>
          <w:tcPr>
            <w:tcW w:type="dxa" w:w="2160"/>
          </w:tcPr>
          <w:p>
            <w:pPr>
              <w:spacing w:after="40"/>
            </w:pPr>
            <w:r/>
            <w:r>
              <w:rPr>
                <w:rFonts w:ascii="Calibri" w:hAnsi="Calibri"/>
                <w:color w:val="565656"/>
                <w:sz w:val="18"/>
              </w:rPr>
              <w:t>s.22(2), rule 18(2)</w:t>
            </w:r>
          </w:p>
        </w:tc>
        <w:tc>
          <w:tcPr>
            <w:tcW w:type="dxa" w:w="1440"/>
          </w:tcPr>
          <w:p>
            <w:pPr>
              <w:spacing w:after="40"/>
            </w:pPr>
            <w:r/>
            <w:r>
              <w:rPr>
                <w:rFonts w:ascii="Calibri" w:hAnsi="Calibri"/>
                <w:color w:val="565656"/>
                <w:sz w:val="18"/>
              </w:rPr>
            </w:r>
          </w:p>
        </w:tc>
      </w:tr>
    </w:tbl>
    <w:p>
      <w:pPr>
        <w:keepNext w:val="0"/>
        <w:spacing w:after="160" w:before="0"/>
      </w:pPr>
      <w:r>
        <w:rPr>
          <w:rFonts w:ascii="Calibri" w:hAnsi="Calibri"/>
          <w:b w:val="0"/>
          <w:i w:val="0"/>
          <w:color w:val="1D1D1D"/>
          <w:sz w:val="21"/>
        </w:rPr>
      </w:r>
    </w:p>
    <w:p>
      <w:r>
        <w:br w:type="page"/>
      </w:r>
    </w:p>
    <w:p>
      <w:pPr>
        <w:pStyle w:val="Heading1"/>
        <w:keepNext/>
        <w:spacing w:after="200" w:before="80"/>
        <w:ind w:left="115"/>
        <w:shd w:val="clear" w:fill="008CDB"/>
      </w:pPr>
      <w:r>
        <w:rPr>
          <w:rFonts w:ascii="Calibri" w:hAnsi="Calibri"/>
          <w:b/>
          <w:color w:val="FFFFFF"/>
          <w:sz w:val="22"/>
        </w:rPr>
        <w:t>8  ·  EIGHT MISTAKES EMPLOYERS MAKE</w:t>
      </w:r>
    </w:p>
    <w:p>
      <w:pPr>
        <w:keepNext/>
        <w:spacing w:after="60" w:before="0"/>
      </w:pPr>
      <w:r>
        <w:rPr>
          <w:rFonts w:ascii="Calibri" w:hAnsi="Calibri"/>
          <w:b/>
          <w:i w:val="0"/>
          <w:color w:val="1D1D1D"/>
          <w:sz w:val="21"/>
        </w:rPr>
        <w:t>1.  Treating both duties as conditional</w:t>
      </w:r>
    </w:p>
    <w:p>
      <w:pPr>
        <w:keepNext w:val="0"/>
        <w:spacing w:after="180" w:before="0"/>
        <w:ind w:left="288"/>
      </w:pPr>
      <w:r>
        <w:rPr>
          <w:rFonts w:ascii="Calibri" w:hAnsi="Calibri"/>
          <w:b w:val="0"/>
          <w:i w:val="0"/>
          <w:color w:val="565656"/>
          <w:sz w:val="20"/>
        </w:rPr>
        <w:t>The Safety Committee is: section 22(1) needs an order from the appropriate Government. The safety officer is not. Section 22(2) says the employer shall appoint, full stop. Guidance that lumps them together gets the officer wrong.</w:t>
      </w:r>
    </w:p>
    <w:p>
      <w:pPr>
        <w:keepNext/>
        <w:spacing w:after="60" w:before="0"/>
      </w:pPr>
      <w:r>
        <w:rPr>
          <w:rFonts w:ascii="Calibri" w:hAnsi="Calibri"/>
          <w:b/>
          <w:i w:val="0"/>
          <w:color w:val="1D1D1D"/>
          <w:sz w:val="21"/>
        </w:rPr>
        <w:t>2.  Waiting for an order that is never going to come separately</w:t>
      </w:r>
    </w:p>
    <w:p>
      <w:pPr>
        <w:keepNext w:val="0"/>
        <w:spacing w:after="180" w:before="0"/>
        <w:ind w:left="288"/>
      </w:pPr>
      <w:r>
        <w:rPr>
          <w:rFonts w:ascii="Calibri" w:hAnsi="Calibri"/>
          <w:b w:val="0"/>
          <w:i w:val="0"/>
          <w:color w:val="565656"/>
          <w:sz w:val="20"/>
        </w:rPr>
        <w:t>Section 22(1) speaks of a general or special order, so employers watch for one. For the central sphere the Centre did not issue a standalone order: it put the requirement straight into rule 14(1), which says every establishment employing five hundred or more workers SHALL constitute a Safety Committee. Rule 14(2) then keeps the general or special order for varying that threshold. So the requirement is already binding and the instrument to read is the rule, not a notification you are still waiting for.</w:t>
      </w:r>
    </w:p>
    <w:p>
      <w:pPr>
        <w:keepNext/>
        <w:spacing w:after="60" w:before="0"/>
      </w:pPr>
      <w:r>
        <w:rPr>
          <w:rFonts w:ascii="Calibri" w:hAnsi="Calibri"/>
          <w:b/>
          <w:i w:val="0"/>
          <w:color w:val="1D1D1D"/>
          <w:sz w:val="21"/>
        </w:rPr>
        <w:t>3.  Using one threshold for everything</w:t>
      </w:r>
    </w:p>
    <w:p>
      <w:pPr>
        <w:keepNext w:val="0"/>
        <w:spacing w:after="180" w:before="0"/>
        <w:ind w:left="288"/>
      </w:pPr>
      <w:r>
        <w:rPr>
          <w:rFonts w:ascii="Calibri" w:hAnsi="Calibri"/>
          <w:b w:val="0"/>
          <w:i w:val="0"/>
          <w:color w:val="565656"/>
          <w:sz w:val="20"/>
        </w:rPr>
        <w:t>There are four in the Code and a fifth in the rules. A hazardous process factory owes an officer at 250, not 500, and a mine at 100. The number that applies to you depends on what kind of establishment you are, not on how big the others are.</w:t>
      </w:r>
    </w:p>
    <w:p>
      <w:pPr>
        <w:keepNext/>
        <w:spacing w:after="60" w:before="0"/>
      </w:pPr>
      <w:r>
        <w:rPr>
          <w:rFonts w:ascii="Calibri" w:hAnsi="Calibri"/>
          <w:b/>
          <w:i w:val="0"/>
          <w:color w:val="1D1D1D"/>
          <w:sz w:val="21"/>
        </w:rPr>
        <w:t>4.  Counting the wrong way</w:t>
      </w:r>
    </w:p>
    <w:p>
      <w:pPr>
        <w:keepNext w:val="0"/>
        <w:spacing w:after="180" w:before="0"/>
        <w:ind w:left="288"/>
      </w:pPr>
      <w:r>
        <w:rPr>
          <w:rFonts w:ascii="Calibri" w:hAnsi="Calibri"/>
          <w:b w:val="0"/>
          <w:i w:val="0"/>
          <w:color w:val="565656"/>
          <w:sz w:val="20"/>
        </w:rPr>
        <w:t>Section 22(2) says WORKERS ordinarily employed. Not a headcount of everyone on site on the day the inspector visits, and not a peak. A site where 240 workers are ordinarily employed and 300 are present for a fortnight is not obviously over the line, and one where 260 are ordinarily employed is, whatever last week looked like.</w:t>
      </w:r>
    </w:p>
    <w:p>
      <w:pPr>
        <w:keepNext/>
        <w:spacing w:after="60" w:before="0"/>
      </w:pPr>
      <w:r>
        <w:rPr>
          <w:rFonts w:ascii="Calibri" w:hAnsi="Calibri"/>
          <w:b/>
          <w:i w:val="0"/>
          <w:color w:val="1D1D1D"/>
          <w:sz w:val="21"/>
        </w:rPr>
        <w:t>5.  Making the safety officer the chairman</w:t>
      </w:r>
    </w:p>
    <w:p>
      <w:pPr>
        <w:keepNext w:val="0"/>
        <w:spacing w:after="180" w:before="0"/>
        <w:ind w:left="288"/>
      </w:pPr>
      <w:r>
        <w:rPr>
          <w:rFonts w:ascii="Calibri" w:hAnsi="Calibri"/>
          <w:b w:val="0"/>
          <w:i w:val="0"/>
          <w:color w:val="565656"/>
          <w:sz w:val="20"/>
        </w:rPr>
        <w:t>Rule 15(1) gives the chair to a senior official who can contribute effectively, and makes the safety officer the SECRETARY. Putting the same person in both seats removes the point of having a committee.</w:t>
      </w:r>
    </w:p>
    <w:p>
      <w:pPr>
        <w:keepNext/>
        <w:spacing w:after="60" w:before="0"/>
      </w:pPr>
      <w:r>
        <w:rPr>
          <w:rFonts w:ascii="Calibri" w:hAnsi="Calibri"/>
          <w:b/>
          <w:i w:val="0"/>
          <w:color w:val="1D1D1D"/>
          <w:sz w:val="21"/>
        </w:rPr>
        <w:t>6.  Letting the recommendations sit</w:t>
      </w:r>
    </w:p>
    <w:p>
      <w:pPr>
        <w:keepNext w:val="0"/>
        <w:spacing w:after="180" w:before="0"/>
        <w:ind w:left="288"/>
      </w:pPr>
      <w:r>
        <w:rPr>
          <w:rFonts w:ascii="Calibri" w:hAnsi="Calibri"/>
          <w:b w:val="0"/>
          <w:i w:val="0"/>
          <w:color w:val="565656"/>
          <w:sz w:val="20"/>
        </w:rPr>
        <w:t>Rule 14(5) gives the employer fifteen days from receiving the Committee's recommendations to take action to implement them. Minutes that record a recommendation and no date of receipt make that impossible to evidence.</w:t>
      </w:r>
    </w:p>
    <w:p>
      <w:pPr>
        <w:keepNext/>
        <w:spacing w:after="60" w:before="0"/>
      </w:pPr>
      <w:r>
        <w:rPr>
          <w:rFonts w:ascii="Calibri" w:hAnsi="Calibri"/>
          <w:b/>
          <w:i w:val="0"/>
          <w:color w:val="1D1D1D"/>
          <w:sz w:val="21"/>
        </w:rPr>
        <w:t>7.  Assuming the central scales are yours</w:t>
      </w:r>
    </w:p>
    <w:p>
      <w:pPr>
        <w:keepNext w:val="0"/>
        <w:spacing w:after="180" w:before="0"/>
        <w:ind w:left="288"/>
      </w:pPr>
      <w:r>
        <w:rPr>
          <w:rFonts w:ascii="Calibri" w:hAnsi="Calibri"/>
          <w:b w:val="0"/>
          <w:i w:val="0"/>
          <w:color w:val="565656"/>
          <w:sz w:val="20"/>
        </w:rPr>
        <w:t>Rule 18 prescribes numbers for dock work and construction, and rule 20 for mines. Nothing in the central rules prescribes them for a factory, because a factory is State sphere. Use them as a yardstick and read your own State's rules for the answer.</w:t>
      </w:r>
    </w:p>
    <w:p>
      <w:pPr>
        <w:keepNext/>
        <w:spacing w:after="60" w:before="0"/>
      </w:pPr>
      <w:r>
        <w:rPr>
          <w:rFonts w:ascii="Calibri" w:hAnsi="Calibri"/>
          <w:b/>
          <w:i w:val="0"/>
          <w:color w:val="1D1D1D"/>
          <w:sz w:val="21"/>
        </w:rPr>
        <w:t>8.  Forgetting the committee has a clock of its own</w:t>
      </w:r>
    </w:p>
    <w:p>
      <w:pPr>
        <w:keepNext w:val="0"/>
        <w:spacing w:after="180" w:before="0"/>
        <w:ind w:left="288"/>
      </w:pPr>
      <w:r>
        <w:rPr>
          <w:rFonts w:ascii="Calibri" w:hAnsi="Calibri"/>
          <w:b w:val="0"/>
          <w:i w:val="0"/>
          <w:color w:val="565656"/>
          <w:sz w:val="20"/>
        </w:rPr>
        <w:t>Three year tenure, and a meeting at least once a quarter, or once a month in a mine. A committee constituted and never convened is a committee that exists only on the resolution.</w:t>
      </w:r>
    </w:p>
    <w:p>
      <w:r>
        <w:br w:type="page"/>
      </w:r>
    </w:p>
    <w:p>
      <w:pPr>
        <w:pStyle w:val="Heading1"/>
        <w:keepNext/>
        <w:spacing w:after="200" w:before="80"/>
        <w:ind w:left="115"/>
        <w:shd w:val="clear" w:fill="008CDB"/>
      </w:pPr>
      <w:r>
        <w:rPr>
          <w:rFonts w:ascii="Calibri" w:hAnsi="Calibri"/>
          <w:b/>
          <w:color w:val="FFFFFF"/>
          <w:sz w:val="22"/>
        </w:rPr>
        <w:t>9  ·  FOURTEEN CHECKS, AND WHERE EVERY LINE COMES FROM</w:t>
      </w:r>
    </w:p>
    <w:p>
      <w:pPr>
        <w:keepNext w:val="0"/>
        <w:spacing w:after="200" w:before="0"/>
      </w:pPr>
      <w:r>
        <w:rPr>
          <w:rFonts w:ascii="Calibri" w:hAnsi="Calibri"/>
          <w:b w:val="0"/>
          <w:i w:val="0"/>
          <w:color w:val="1D1D1D"/>
          <w:sz w:val="21"/>
        </w:rPr>
        <w:t>Run the first six once, and the rest on the cycle the calendar sets.</w:t>
      </w:r>
    </w:p>
    <w:p>
      <w:pPr>
        <w:keepNext w:val="0"/>
        <w:spacing w:after="80" w:before="0"/>
        <w:ind w:left="144"/>
      </w:pPr>
      <w:r>
        <w:rPr>
          <w:rFonts w:ascii="Calibri" w:hAnsi="Calibri"/>
          <w:b w:val="0"/>
          <w:i w:val="0"/>
          <w:color w:val="565656"/>
          <w:sz w:val="20"/>
        </w:rPr>
        <w:t>1.  Count the workers ordinarily employed, and write down the date you counted and the basis.</w:t>
      </w:r>
    </w:p>
    <w:p>
      <w:pPr>
        <w:keepNext w:val="0"/>
        <w:spacing w:after="80" w:before="0"/>
        <w:ind w:left="144"/>
      </w:pPr>
      <w:r>
        <w:rPr>
          <w:rFonts w:ascii="Calibri" w:hAnsi="Calibri"/>
          <w:b w:val="0"/>
          <w:i w:val="0"/>
          <w:color w:val="565656"/>
          <w:sz w:val="20"/>
        </w:rPr>
        <w:t>2.  Decide which limb you are on: factory, hazardous process factory, construction, mine, or dock work.</w:t>
      </w:r>
    </w:p>
    <w:p>
      <w:pPr>
        <w:keepNext w:val="0"/>
        <w:spacing w:after="80" w:before="0"/>
        <w:ind w:left="144"/>
      </w:pPr>
      <w:r>
        <w:rPr>
          <w:rFonts w:ascii="Calibri" w:hAnsi="Calibri"/>
          <w:b w:val="0"/>
          <w:i w:val="0"/>
          <w:color w:val="565656"/>
          <w:sz w:val="20"/>
        </w:rPr>
        <w:t>3.  If you are over the line, appoint the safety officer. The duty is in the Code and needs no order.</w:t>
      </w:r>
    </w:p>
    <w:p>
      <w:pPr>
        <w:keepNext w:val="0"/>
        <w:spacing w:after="80" w:before="0"/>
        <w:ind w:left="144"/>
      </w:pPr>
      <w:r>
        <w:rPr>
          <w:rFonts w:ascii="Calibri" w:hAnsi="Calibri"/>
          <w:b w:val="0"/>
          <w:i w:val="0"/>
          <w:color w:val="565656"/>
          <w:sz w:val="20"/>
        </w:rPr>
        <w:t>4.  Check the appointee against the six eligibility routes, or rule 20(2) if you are a mine, and keep the evidence with the appointment.</w:t>
      </w:r>
    </w:p>
    <w:p>
      <w:pPr>
        <w:keepNext w:val="0"/>
        <w:spacing w:after="80" w:before="0"/>
        <w:ind w:left="144"/>
      </w:pPr>
      <w:r>
        <w:rPr>
          <w:rFonts w:ascii="Calibri" w:hAnsi="Calibri"/>
          <w:b w:val="0"/>
          <w:i w:val="0"/>
          <w:color w:val="565656"/>
          <w:sz w:val="20"/>
        </w:rPr>
        <w:t>5.  Attach the duties to the appointment letter rather than describing them, taking rule 19 for dock work or construction and rule 21 if you are a mine.</w:t>
      </w:r>
    </w:p>
    <w:p>
      <w:pPr>
        <w:keepNext w:val="0"/>
        <w:spacing w:after="80" w:before="0"/>
        <w:ind w:left="144"/>
      </w:pPr>
      <w:r>
        <w:rPr>
          <w:rFonts w:ascii="Calibri" w:hAnsi="Calibri"/>
          <w:b w:val="0"/>
          <w:i w:val="0"/>
          <w:color w:val="565656"/>
          <w:sz w:val="20"/>
        </w:rPr>
        <w:t>6.  Open the record book, bound and paged, or set up the non-editable electronic equivalent.</w:t>
      </w:r>
    </w:p>
    <w:p>
      <w:pPr>
        <w:keepNext w:val="0"/>
        <w:spacing w:after="80" w:before="0"/>
        <w:ind w:left="144"/>
      </w:pPr>
      <w:r>
        <w:rPr>
          <w:rFonts w:ascii="Calibri" w:hAnsi="Calibri"/>
          <w:b w:val="0"/>
          <w:i w:val="0"/>
          <w:color w:val="565656"/>
          <w:sz w:val="20"/>
        </w:rPr>
        <w:t>7.  Establish whether the Centre or your State is your appropriate Government, because that decides whose numbers and qualifications bind you.</w:t>
      </w:r>
    </w:p>
    <w:p>
      <w:pPr>
        <w:keepNext w:val="0"/>
        <w:spacing w:after="80" w:before="0"/>
        <w:ind w:left="144"/>
      </w:pPr>
      <w:r>
        <w:rPr>
          <w:rFonts w:ascii="Calibri" w:hAnsi="Calibri"/>
          <w:b w:val="0"/>
          <w:i w:val="0"/>
          <w:color w:val="565656"/>
          <w:sz w:val="20"/>
        </w:rPr>
        <w:t>8.  If the Centre is, and you employ five hundred or more, constitute the Safety Committee under rule 14(1).</w:t>
      </w:r>
    </w:p>
    <w:p>
      <w:pPr>
        <w:keepNext w:val="0"/>
        <w:spacing w:after="80" w:before="0"/>
        <w:ind w:left="144"/>
      </w:pPr>
      <w:r>
        <w:rPr>
          <w:rFonts w:ascii="Calibri" w:hAnsi="Calibri"/>
          <w:b w:val="0"/>
          <w:i w:val="0"/>
          <w:color w:val="565656"/>
          <w:sz w:val="20"/>
        </w:rPr>
        <w:t>9.  Keep it to twenty members at most, equal from each side.</w:t>
      </w:r>
    </w:p>
    <w:p>
      <w:pPr>
        <w:keepNext w:val="0"/>
        <w:spacing w:after="80" w:before="0"/>
        <w:ind w:left="144"/>
      </w:pPr>
      <w:r>
        <w:rPr>
          <w:rFonts w:ascii="Calibri" w:hAnsi="Calibri"/>
          <w:b w:val="0"/>
          <w:i w:val="0"/>
          <w:color w:val="565656"/>
          <w:sz w:val="20"/>
        </w:rPr>
        <w:t>10.  Give the chair to a senior official and the secretaryship to the safety officer, not both to one person.</w:t>
      </w:r>
    </w:p>
    <w:p>
      <w:pPr>
        <w:keepNext w:val="0"/>
        <w:spacing w:after="80" w:before="0"/>
        <w:ind w:left="144"/>
      </w:pPr>
      <w:r>
        <w:rPr>
          <w:rFonts w:ascii="Calibri" w:hAnsi="Calibri"/>
          <w:b w:val="0"/>
          <w:i w:val="0"/>
          <w:color w:val="565656"/>
          <w:sz w:val="20"/>
        </w:rPr>
        <w:t>11.  Diarise the quarterly meeting, or the monthly one in a mine.</w:t>
      </w:r>
    </w:p>
    <w:p>
      <w:pPr>
        <w:keepNext w:val="0"/>
        <w:spacing w:after="80" w:before="0"/>
        <w:ind w:left="144"/>
      </w:pPr>
      <w:r>
        <w:rPr>
          <w:rFonts w:ascii="Calibri" w:hAnsi="Calibri"/>
          <w:b w:val="0"/>
          <w:i w:val="0"/>
          <w:color w:val="565656"/>
          <w:sz w:val="20"/>
        </w:rPr>
        <w:t>12.  Give the Committee the hazard and accident information rule 14(4) requires, and minute that you did.</w:t>
      </w:r>
    </w:p>
    <w:p>
      <w:pPr>
        <w:keepNext w:val="0"/>
        <w:spacing w:after="80" w:before="0"/>
        <w:ind w:left="144"/>
      </w:pPr>
      <w:r>
        <w:rPr>
          <w:rFonts w:ascii="Calibri" w:hAnsi="Calibri"/>
          <w:b w:val="0"/>
          <w:i w:val="0"/>
          <w:color w:val="565656"/>
          <w:sz w:val="20"/>
        </w:rPr>
        <w:t>13.  Date-stamp every recommendation on receipt, and diarise fifteen days from that date.</w:t>
      </w:r>
    </w:p>
    <w:p>
      <w:pPr>
        <w:keepNext w:val="0"/>
        <w:spacing w:after="80" w:before="0"/>
        <w:ind w:left="144"/>
      </w:pPr>
      <w:r>
        <w:rPr>
          <w:rFonts w:ascii="Calibri" w:hAnsi="Calibri"/>
          <w:b w:val="0"/>
          <w:i w:val="0"/>
          <w:color w:val="565656"/>
          <w:sz w:val="20"/>
        </w:rPr>
        <w:t>14.  Re-run the count when the headcount moves, because a different limb may now apply.</w:t>
      </w:r>
    </w:p>
    <w:p>
      <w:pPr>
        <w:keepNext w:val="0"/>
        <w:spacing w:after="200" w:before="0"/>
      </w:pPr>
      <w:r>
        <w:rPr>
          <w:rFonts w:ascii="Calibri" w:hAnsi="Calibri"/>
          <w:b w:val="0"/>
          <w:i w:val="0"/>
          <w:color w:val="1D1D1D"/>
          <w:sz w:val="21"/>
        </w:rPr>
      </w:r>
    </w:p>
    <w:p>
      <w:pPr>
        <w:keepNext w:val="0"/>
        <w:spacing w:after="160" w:before="120"/>
      </w:pPr>
      <w:r>
        <w:rPr>
          <w:rFonts w:ascii="Calibri" w:hAnsi="Calibri"/>
          <w:b/>
          <w:i w:val="0"/>
          <w:color w:val="1D1D1D"/>
          <w:sz w:val="22"/>
        </w:rPr>
        <w:t>Every claim in this pack, against the provision it rests on</w:t>
      </w:r>
    </w:p>
    <w:tbl>
      <w:tblPr>
        <w:tblStyle w:val="TableGrid"/>
        <w:tblW w:type="auto" w:w="0"/>
        <w:tblLook w:firstColumn="1" w:firstRow="1" w:lastColumn="0" w:lastRow="0" w:noHBand="0" w:noVBand="1" w:val="04A0"/>
      </w:tblPr>
      <w:tblGrid>
        <w:gridCol w:w="4824"/>
        <w:gridCol w:w="4824"/>
      </w:tblGrid>
      <w:tr>
        <w:tc>
          <w:tcPr>
            <w:tcW w:type="dxa" w:w="6192"/>
          </w:tcPr>
          <w:p>
            <w:pPr>
              <w:spacing w:after="40"/>
              <w:shd w:val="clear" w:fill="E8F4FC"/>
            </w:pPr>
            <w:r/>
            <w:r>
              <w:rPr>
                <w:rFonts w:ascii="Calibri" w:hAnsi="Calibri"/>
                <w:b/>
                <w:color w:val="0069A4"/>
                <w:sz w:val="18"/>
              </w:rPr>
              <w:t>The claim</w:t>
            </w:r>
          </w:p>
        </w:tc>
        <w:tc>
          <w:tcPr>
            <w:tcW w:type="dxa" w:w="3168"/>
          </w:tcPr>
          <w:p>
            <w:pPr>
              <w:spacing w:after="40"/>
              <w:shd w:val="clear" w:fill="E8F4FC"/>
            </w:pPr>
            <w:r/>
            <w:r>
              <w:rPr>
                <w:rFonts w:ascii="Calibri" w:hAnsi="Calibri"/>
                <w:b/>
                <w:color w:val="0069A4"/>
                <w:sz w:val="18"/>
              </w:rPr>
              <w:t>The provision</w:t>
            </w:r>
          </w:p>
        </w:tc>
      </w:tr>
      <w:tr>
        <w:tc>
          <w:tcPr>
            <w:tcW w:type="dxa" w:w="6192"/>
          </w:tcPr>
          <w:p>
            <w:pPr>
              <w:spacing w:after="40"/>
            </w:pPr>
            <w:r/>
            <w:r>
              <w:rPr>
                <w:rFonts w:ascii="Calibri" w:hAnsi="Calibri"/>
                <w:color w:val="565656"/>
                <w:sz w:val="18"/>
              </w:rPr>
              <w:t>A safety officer is owed by a factory at five hundred workers</w:t>
            </w:r>
          </w:p>
        </w:tc>
        <w:tc>
          <w:tcPr>
            <w:tcW w:type="dxa" w:w="3168"/>
          </w:tcPr>
          <w:p>
            <w:pPr>
              <w:spacing w:after="40"/>
            </w:pPr>
            <w:r/>
            <w:r>
              <w:rPr>
                <w:rFonts w:ascii="Calibri" w:hAnsi="Calibri"/>
                <w:color w:val="565656"/>
                <w:sz w:val="18"/>
              </w:rPr>
              <w:t>OSH Code, 2020, s.22(2)(a)</w:t>
            </w:r>
          </w:p>
        </w:tc>
      </w:tr>
      <w:tr>
        <w:tc>
          <w:tcPr>
            <w:tcW w:type="dxa" w:w="6192"/>
          </w:tcPr>
          <w:p>
            <w:pPr>
              <w:spacing w:after="40"/>
            </w:pPr>
            <w:r/>
            <w:r>
              <w:rPr>
                <w:rFonts w:ascii="Calibri" w:hAnsi="Calibri"/>
                <w:color w:val="565656"/>
                <w:sz w:val="18"/>
              </w:rPr>
              <w:t>By a factory carrying on a hazardous process at two hundred fifty</w:t>
            </w:r>
          </w:p>
        </w:tc>
        <w:tc>
          <w:tcPr>
            <w:tcW w:type="dxa" w:w="3168"/>
          </w:tcPr>
          <w:p>
            <w:pPr>
              <w:spacing w:after="40"/>
            </w:pPr>
            <w:r/>
            <w:r>
              <w:rPr>
                <w:rFonts w:ascii="Calibri" w:hAnsi="Calibri"/>
                <w:color w:val="565656"/>
                <w:sz w:val="18"/>
              </w:rPr>
              <w:t>OSH Code, 2020, s.22(2)(b)</w:t>
            </w:r>
          </w:p>
        </w:tc>
      </w:tr>
      <w:tr>
        <w:tc>
          <w:tcPr>
            <w:tcW w:type="dxa" w:w="6192"/>
          </w:tcPr>
          <w:p>
            <w:pPr>
              <w:spacing w:after="40"/>
            </w:pPr>
            <w:r/>
            <w:r>
              <w:rPr>
                <w:rFonts w:ascii="Calibri" w:hAnsi="Calibri"/>
                <w:color w:val="565656"/>
                <w:sz w:val="18"/>
              </w:rPr>
              <w:t>By building or other construction work at two hundred fifty</w:t>
            </w:r>
          </w:p>
        </w:tc>
        <w:tc>
          <w:tcPr>
            <w:tcW w:type="dxa" w:w="3168"/>
          </w:tcPr>
          <w:p>
            <w:pPr>
              <w:spacing w:after="40"/>
            </w:pPr>
            <w:r/>
            <w:r>
              <w:rPr>
                <w:rFonts w:ascii="Calibri" w:hAnsi="Calibri"/>
                <w:color w:val="565656"/>
                <w:sz w:val="18"/>
              </w:rPr>
              <w:t>OSH Code, 2020, s.22(2)(c)</w:t>
            </w:r>
          </w:p>
        </w:tc>
      </w:tr>
      <w:tr>
        <w:tc>
          <w:tcPr>
            <w:tcW w:type="dxa" w:w="6192"/>
          </w:tcPr>
          <w:p>
            <w:pPr>
              <w:spacing w:after="40"/>
            </w:pPr>
            <w:r/>
            <w:r>
              <w:rPr>
                <w:rFonts w:ascii="Calibri" w:hAnsi="Calibri"/>
                <w:color w:val="565656"/>
                <w:sz w:val="18"/>
              </w:rPr>
              <w:t>By a mine at one hundred</w:t>
            </w:r>
          </w:p>
        </w:tc>
        <w:tc>
          <w:tcPr>
            <w:tcW w:type="dxa" w:w="3168"/>
          </w:tcPr>
          <w:p>
            <w:pPr>
              <w:spacing w:after="40"/>
            </w:pPr>
            <w:r/>
            <w:r>
              <w:rPr>
                <w:rFonts w:ascii="Calibri" w:hAnsi="Calibri"/>
                <w:color w:val="565656"/>
                <w:sz w:val="18"/>
              </w:rPr>
              <w:t>OSH Code, 2020, s.22(2)(d)</w:t>
            </w:r>
          </w:p>
        </w:tc>
      </w:tr>
      <w:tr>
        <w:tc>
          <w:tcPr>
            <w:tcW w:type="dxa" w:w="6192"/>
          </w:tcPr>
          <w:p>
            <w:pPr>
              <w:spacing w:after="40"/>
            </w:pPr>
            <w:r/>
            <w:r>
              <w:rPr>
                <w:rFonts w:ascii="Calibri" w:hAnsi="Calibri"/>
                <w:color w:val="565656"/>
                <w:sz w:val="18"/>
              </w:rPr>
              <w:t>And the test is workers ORDINARILY employed</w:t>
            </w:r>
          </w:p>
        </w:tc>
        <w:tc>
          <w:tcPr>
            <w:tcW w:type="dxa" w:w="3168"/>
          </w:tcPr>
          <w:p>
            <w:pPr>
              <w:spacing w:after="40"/>
            </w:pPr>
            <w:r/>
            <w:r>
              <w:rPr>
                <w:rFonts w:ascii="Calibri" w:hAnsi="Calibri"/>
                <w:color w:val="565656"/>
                <w:sz w:val="18"/>
              </w:rPr>
              <w:t>OSH Code, 2020, s.22(2)</w:t>
            </w:r>
          </w:p>
        </w:tc>
      </w:tr>
      <w:tr>
        <w:tc>
          <w:tcPr>
            <w:tcW w:type="dxa" w:w="6192"/>
          </w:tcPr>
          <w:p>
            <w:pPr>
              <w:spacing w:after="40"/>
            </w:pPr>
            <w:r/>
            <w:r>
              <w:rPr>
                <w:rFonts w:ascii="Calibri" w:hAnsi="Calibri"/>
                <w:color w:val="565656"/>
                <w:sz w:val="18"/>
              </w:rPr>
              <w:t>The employer SHALL appoint: the officer duty needs no order</w:t>
            </w:r>
          </w:p>
        </w:tc>
        <w:tc>
          <w:tcPr>
            <w:tcW w:type="dxa" w:w="3168"/>
          </w:tcPr>
          <w:p>
            <w:pPr>
              <w:spacing w:after="40"/>
            </w:pPr>
            <w:r/>
            <w:r>
              <w:rPr>
                <w:rFonts w:ascii="Calibri" w:hAnsi="Calibri"/>
                <w:color w:val="565656"/>
                <w:sz w:val="18"/>
              </w:rPr>
              <w:t>OSH Code, 2020, s.22(2)</w:t>
            </w:r>
          </w:p>
        </w:tc>
      </w:tr>
      <w:tr>
        <w:tc>
          <w:tcPr>
            <w:tcW w:type="dxa" w:w="6192"/>
          </w:tcPr>
          <w:p>
            <w:pPr>
              <w:spacing w:after="40"/>
            </w:pPr>
            <w:r/>
            <w:r>
              <w:rPr>
                <w:rFonts w:ascii="Calibri" w:hAnsi="Calibri"/>
                <w:color w:val="565656"/>
                <w:sz w:val="18"/>
              </w:rPr>
              <w:t>But the number, qualifications and duties are prescribed by the appropriate Government</w:t>
            </w:r>
          </w:p>
        </w:tc>
        <w:tc>
          <w:tcPr>
            <w:tcW w:type="dxa" w:w="3168"/>
          </w:tcPr>
          <w:p>
            <w:pPr>
              <w:spacing w:after="40"/>
            </w:pPr>
            <w:r/>
            <w:r>
              <w:rPr>
                <w:rFonts w:ascii="Calibri" w:hAnsi="Calibri"/>
                <w:color w:val="565656"/>
                <w:sz w:val="18"/>
              </w:rPr>
              <w:t>OSH Code, 2020, s.22(2)</w:t>
            </w:r>
          </w:p>
        </w:tc>
      </w:tr>
      <w:tr>
        <w:tc>
          <w:tcPr>
            <w:tcW w:type="dxa" w:w="6192"/>
          </w:tcPr>
          <w:p>
            <w:pPr>
              <w:spacing w:after="40"/>
            </w:pPr>
            <w:r/>
            <w:r>
              <w:rPr>
                <w:rFonts w:ascii="Calibri" w:hAnsi="Calibri"/>
                <w:color w:val="565656"/>
                <w:sz w:val="18"/>
              </w:rPr>
              <w:t>The Safety Committee arises only where the appropriate Government requires it by general or special order</w:t>
            </w:r>
          </w:p>
        </w:tc>
        <w:tc>
          <w:tcPr>
            <w:tcW w:type="dxa" w:w="3168"/>
          </w:tcPr>
          <w:p>
            <w:pPr>
              <w:spacing w:after="40"/>
            </w:pPr>
            <w:r/>
            <w:r>
              <w:rPr>
                <w:rFonts w:ascii="Calibri" w:hAnsi="Calibri"/>
                <w:color w:val="565656"/>
                <w:sz w:val="18"/>
              </w:rPr>
              <w:t>OSH Code, 2020, s.22(1)</w:t>
            </w:r>
          </w:p>
        </w:tc>
      </w:tr>
      <w:tr>
        <w:tc>
          <w:tcPr>
            <w:tcW w:type="dxa" w:w="6192"/>
          </w:tcPr>
          <w:p>
            <w:pPr>
              <w:spacing w:after="40"/>
            </w:pPr>
            <w:r/>
            <w:r>
              <w:rPr>
                <w:rFonts w:ascii="Calibri" w:hAnsi="Calibri"/>
                <w:color w:val="565656"/>
                <w:sz w:val="18"/>
              </w:rPr>
              <w:t>Its worker representatives shall not be less than the employer's</w:t>
            </w:r>
          </w:p>
        </w:tc>
        <w:tc>
          <w:tcPr>
            <w:tcW w:type="dxa" w:w="3168"/>
          </w:tcPr>
          <w:p>
            <w:pPr>
              <w:spacing w:after="40"/>
            </w:pPr>
            <w:r/>
            <w:r>
              <w:rPr>
                <w:rFonts w:ascii="Calibri" w:hAnsi="Calibri"/>
                <w:color w:val="565656"/>
                <w:sz w:val="18"/>
              </w:rPr>
              <w:t>OSH Code, 2020, s.22(1)</w:t>
            </w:r>
          </w:p>
        </w:tc>
      </w:tr>
      <w:tr>
        <w:tc>
          <w:tcPr>
            <w:tcW w:type="dxa" w:w="6192"/>
          </w:tcPr>
          <w:p>
            <w:pPr>
              <w:spacing w:after="40"/>
            </w:pPr>
            <w:r/>
            <w:r>
              <w:rPr>
                <w:rFonts w:ascii="Calibri" w:hAnsi="Calibri"/>
                <w:color w:val="565656"/>
                <w:sz w:val="18"/>
              </w:rPr>
              <w:t>For the central sphere the order is given: a Safety Committee at five hundred workers</w:t>
            </w:r>
          </w:p>
        </w:tc>
        <w:tc>
          <w:tcPr>
            <w:tcW w:type="dxa" w:w="3168"/>
          </w:tcPr>
          <w:p>
            <w:pPr>
              <w:spacing w:after="40"/>
            </w:pPr>
            <w:r/>
            <w:r>
              <w:rPr>
                <w:rFonts w:ascii="Calibri" w:hAnsi="Calibri"/>
                <w:color w:val="565656"/>
                <w:sz w:val="18"/>
              </w:rPr>
              <w:t>OSH (Central) Rules, 2026, rule 14(1)</w:t>
            </w:r>
          </w:p>
        </w:tc>
      </w:tr>
      <w:tr>
        <w:tc>
          <w:tcPr>
            <w:tcW w:type="dxa" w:w="6192"/>
          </w:tcPr>
          <w:p>
            <w:pPr>
              <w:spacing w:after="40"/>
            </w:pPr>
            <w:r/>
            <w:r>
              <w:rPr>
                <w:rFonts w:ascii="Calibri" w:hAnsi="Calibri"/>
                <w:color w:val="565656"/>
                <w:sz w:val="18"/>
              </w:rPr>
              <w:t>The Central Government may vary that threshold by order</w:t>
            </w:r>
          </w:p>
        </w:tc>
        <w:tc>
          <w:tcPr>
            <w:tcW w:type="dxa" w:w="3168"/>
          </w:tcPr>
          <w:p>
            <w:pPr>
              <w:spacing w:after="40"/>
            </w:pPr>
            <w:r/>
            <w:r>
              <w:rPr>
                <w:rFonts w:ascii="Calibri" w:hAnsi="Calibri"/>
                <w:color w:val="565656"/>
                <w:sz w:val="18"/>
              </w:rPr>
              <w:t>OSH (Central) Rules, 2026, rule 14(2)</w:t>
            </w:r>
          </w:p>
        </w:tc>
      </w:tr>
      <w:tr>
        <w:tc>
          <w:tcPr>
            <w:tcW w:type="dxa" w:w="6192"/>
          </w:tcPr>
          <w:p>
            <w:pPr>
              <w:spacing w:after="40"/>
            </w:pPr>
            <w:r/>
            <w:r>
              <w:rPr>
                <w:rFonts w:ascii="Calibri" w:hAnsi="Calibri"/>
                <w:color w:val="565656"/>
                <w:sz w:val="18"/>
              </w:rPr>
              <w:t>Tenure three years, meeting at least quarterly, monthly in a mine</w:t>
            </w:r>
          </w:p>
        </w:tc>
        <w:tc>
          <w:tcPr>
            <w:tcW w:type="dxa" w:w="3168"/>
          </w:tcPr>
          <w:p>
            <w:pPr>
              <w:spacing w:after="40"/>
            </w:pPr>
            <w:r/>
            <w:r>
              <w:rPr>
                <w:rFonts w:ascii="Calibri" w:hAnsi="Calibri"/>
                <w:color w:val="565656"/>
                <w:sz w:val="18"/>
              </w:rPr>
              <w:t>OSH (Central) Rules, 2026, rule 14(3)</w:t>
            </w:r>
          </w:p>
        </w:tc>
      </w:tr>
      <w:tr>
        <w:tc>
          <w:tcPr>
            <w:tcW w:type="dxa" w:w="6192"/>
          </w:tcPr>
          <w:p>
            <w:pPr>
              <w:spacing w:after="40"/>
            </w:pPr>
            <w:r/>
            <w:r>
              <w:rPr>
                <w:rFonts w:ascii="Calibri" w:hAnsi="Calibri"/>
                <w:color w:val="565656"/>
                <w:sz w:val="18"/>
              </w:rPr>
              <w:t>The Committee must be told the hazards and the accident data</w:t>
            </w:r>
          </w:p>
        </w:tc>
        <w:tc>
          <w:tcPr>
            <w:tcW w:type="dxa" w:w="3168"/>
          </w:tcPr>
          <w:p>
            <w:pPr>
              <w:spacing w:after="40"/>
            </w:pPr>
            <w:r/>
            <w:r>
              <w:rPr>
                <w:rFonts w:ascii="Calibri" w:hAnsi="Calibri"/>
                <w:color w:val="565656"/>
                <w:sz w:val="18"/>
              </w:rPr>
              <w:t>OSH (Central) Rules, 2026, rule 14(4)</w:t>
            </w:r>
          </w:p>
        </w:tc>
      </w:tr>
      <w:tr>
        <w:tc>
          <w:tcPr>
            <w:tcW w:type="dxa" w:w="6192"/>
          </w:tcPr>
          <w:p>
            <w:pPr>
              <w:spacing w:after="40"/>
            </w:pPr>
            <w:r/>
            <w:r>
              <w:rPr>
                <w:rFonts w:ascii="Calibri" w:hAnsi="Calibri"/>
                <w:color w:val="565656"/>
                <w:sz w:val="18"/>
              </w:rPr>
              <w:t>Fifteen days to act on its recommendations</w:t>
            </w:r>
          </w:p>
        </w:tc>
        <w:tc>
          <w:tcPr>
            <w:tcW w:type="dxa" w:w="3168"/>
          </w:tcPr>
          <w:p>
            <w:pPr>
              <w:spacing w:after="40"/>
            </w:pPr>
            <w:r/>
            <w:r>
              <w:rPr>
                <w:rFonts w:ascii="Calibri" w:hAnsi="Calibri"/>
                <w:color w:val="565656"/>
                <w:sz w:val="18"/>
              </w:rPr>
              <w:t>OSH (Central) Rules, 2026, rule 14(5)</w:t>
            </w:r>
          </w:p>
        </w:tc>
      </w:tr>
      <w:tr>
        <w:tc>
          <w:tcPr>
            <w:tcW w:type="dxa" w:w="6192"/>
          </w:tcPr>
          <w:p>
            <w:pPr>
              <w:spacing w:after="40"/>
            </w:pPr>
            <w:r/>
            <w:r>
              <w:rPr>
                <w:rFonts w:ascii="Calibri" w:hAnsi="Calibri"/>
                <w:color w:val="565656"/>
                <w:sz w:val="18"/>
              </w:rPr>
              <w:t>Chair a senior official, secretary the safety officer, and a medical practitioner wherever available</w:t>
            </w:r>
          </w:p>
        </w:tc>
        <w:tc>
          <w:tcPr>
            <w:tcW w:type="dxa" w:w="3168"/>
          </w:tcPr>
          <w:p>
            <w:pPr>
              <w:spacing w:after="40"/>
            </w:pPr>
            <w:r/>
            <w:r>
              <w:rPr>
                <w:rFonts w:ascii="Calibri" w:hAnsi="Calibri"/>
                <w:color w:val="565656"/>
                <w:sz w:val="18"/>
              </w:rPr>
              <w:t>OSH (Central) Rules, 2026, rule 15(1)</w:t>
            </w:r>
          </w:p>
        </w:tc>
      </w:tr>
      <w:tr>
        <w:tc>
          <w:tcPr>
            <w:tcW w:type="dxa" w:w="6192"/>
          </w:tcPr>
          <w:p>
            <w:pPr>
              <w:spacing w:after="40"/>
            </w:pPr>
            <w:r/>
            <w:r>
              <w:rPr>
                <w:rFonts w:ascii="Calibri" w:hAnsi="Calibri"/>
                <w:color w:val="565656"/>
                <w:sz w:val="18"/>
              </w:rPr>
              <w:t>Equal numbers, not exceeding twenty</w:t>
            </w:r>
          </w:p>
        </w:tc>
        <w:tc>
          <w:tcPr>
            <w:tcW w:type="dxa" w:w="3168"/>
          </w:tcPr>
          <w:p>
            <w:pPr>
              <w:spacing w:after="40"/>
            </w:pPr>
            <w:r/>
            <w:r>
              <w:rPr>
                <w:rFonts w:ascii="Calibri" w:hAnsi="Calibri"/>
                <w:color w:val="565656"/>
                <w:sz w:val="18"/>
              </w:rPr>
              <w:t>OSH (Central) Rules, 2026, rule 15(2)</w:t>
            </w:r>
          </w:p>
        </w:tc>
      </w:tr>
      <w:tr>
        <w:tc>
          <w:tcPr>
            <w:tcW w:type="dxa" w:w="6192"/>
          </w:tcPr>
          <w:p>
            <w:pPr>
              <w:spacing w:after="40"/>
            </w:pPr>
            <w:r/>
            <w:r>
              <w:rPr>
                <w:rFonts w:ascii="Calibri" w:hAnsi="Calibri"/>
                <w:color w:val="565656"/>
                <w:sz w:val="18"/>
              </w:rPr>
              <w:t>Employer members preferably heads of major departments</w:t>
            </w:r>
          </w:p>
        </w:tc>
        <w:tc>
          <w:tcPr>
            <w:tcW w:type="dxa" w:w="3168"/>
          </w:tcPr>
          <w:p>
            <w:pPr>
              <w:spacing w:after="40"/>
            </w:pPr>
            <w:r/>
            <w:r>
              <w:rPr>
                <w:rFonts w:ascii="Calibri" w:hAnsi="Calibri"/>
                <w:color w:val="565656"/>
                <w:sz w:val="18"/>
              </w:rPr>
              <w:t>OSH (Central) Rules, 2026, rule 15(3)</w:t>
            </w:r>
          </w:p>
        </w:tc>
      </w:tr>
      <w:tr>
        <w:tc>
          <w:tcPr>
            <w:tcW w:type="dxa" w:w="6192"/>
          </w:tcPr>
          <w:p>
            <w:pPr>
              <w:spacing w:after="40"/>
            </w:pPr>
            <w:r/>
            <w:r>
              <w:rPr>
                <w:rFonts w:ascii="Calibri" w:hAnsi="Calibri"/>
                <w:color w:val="565656"/>
                <w:sz w:val="18"/>
              </w:rPr>
              <w:t>Worker members by negotiating union or council, or chosen by the workers</w:t>
            </w:r>
          </w:p>
        </w:tc>
        <w:tc>
          <w:tcPr>
            <w:tcW w:type="dxa" w:w="3168"/>
          </w:tcPr>
          <w:p>
            <w:pPr>
              <w:spacing w:after="40"/>
            </w:pPr>
            <w:r/>
            <w:r>
              <w:rPr>
                <w:rFonts w:ascii="Calibri" w:hAnsi="Calibri"/>
                <w:color w:val="565656"/>
                <w:sz w:val="18"/>
              </w:rPr>
              <w:t>OSH (Central) Rules, 2026, rule 15(4)</w:t>
            </w:r>
          </w:p>
        </w:tc>
      </w:tr>
      <w:tr>
        <w:tc>
          <w:tcPr>
            <w:tcW w:type="dxa" w:w="6192"/>
          </w:tcPr>
          <w:p>
            <w:pPr>
              <w:spacing w:after="40"/>
            </w:pPr>
            <w:r/>
            <w:r>
              <w:rPr>
                <w:rFonts w:ascii="Calibri" w:hAnsi="Calibri"/>
                <w:color w:val="565656"/>
                <w:sz w:val="18"/>
              </w:rPr>
              <w:t>Safety officer scales for dock work and construction</w:t>
            </w:r>
          </w:p>
        </w:tc>
        <w:tc>
          <w:tcPr>
            <w:tcW w:type="dxa" w:w="3168"/>
          </w:tcPr>
          <w:p>
            <w:pPr>
              <w:spacing w:after="40"/>
            </w:pPr>
            <w:r/>
            <w:r>
              <w:rPr>
                <w:rFonts w:ascii="Calibri" w:hAnsi="Calibri"/>
                <w:color w:val="565656"/>
                <w:sz w:val="18"/>
              </w:rPr>
              <w:t>OSH (Central) Rules, 2026, rule 18(1)</w:t>
            </w:r>
          </w:p>
        </w:tc>
      </w:tr>
      <w:tr>
        <w:tc>
          <w:tcPr>
            <w:tcW w:type="dxa" w:w="6192"/>
          </w:tcPr>
          <w:p>
            <w:pPr>
              <w:spacing w:after="40"/>
            </w:pPr>
            <w:r/>
            <w:r>
              <w:rPr>
                <w:rFonts w:ascii="Calibri" w:hAnsi="Calibri"/>
                <w:color w:val="565656"/>
                <w:sz w:val="18"/>
              </w:rPr>
              <w:t>Four eligibility routes, for dock work and construction only</w:t>
            </w:r>
          </w:p>
        </w:tc>
        <w:tc>
          <w:tcPr>
            <w:tcW w:type="dxa" w:w="3168"/>
          </w:tcPr>
          <w:p>
            <w:pPr>
              <w:spacing w:after="40"/>
            </w:pPr>
            <w:r/>
            <w:r>
              <w:rPr>
                <w:rFonts w:ascii="Calibri" w:hAnsi="Calibri"/>
                <w:color w:val="565656"/>
                <w:sz w:val="18"/>
              </w:rPr>
              <w:t>OSH (Central) Rules, 2026, rule 18(2)</w:t>
            </w:r>
          </w:p>
        </w:tc>
      </w:tr>
      <w:tr>
        <w:tc>
          <w:tcPr>
            <w:tcW w:type="dxa" w:w="6192"/>
          </w:tcPr>
          <w:p>
            <w:pPr>
              <w:spacing w:after="40"/>
            </w:pPr>
            <w:r/>
            <w:r>
              <w:rPr>
                <w:rFonts w:ascii="Calibri" w:hAnsi="Calibri"/>
                <w:color w:val="565656"/>
                <w:sz w:val="18"/>
              </w:rPr>
              <w:t>Two further routes, notwithstanding those four</w:t>
            </w:r>
          </w:p>
        </w:tc>
        <w:tc>
          <w:tcPr>
            <w:tcW w:type="dxa" w:w="3168"/>
          </w:tcPr>
          <w:p>
            <w:pPr>
              <w:spacing w:after="40"/>
            </w:pPr>
            <w:r/>
            <w:r>
              <w:rPr>
                <w:rFonts w:ascii="Calibri" w:hAnsi="Calibri"/>
                <w:color w:val="565656"/>
                <w:sz w:val="18"/>
              </w:rPr>
              <w:t>OSH (Central) Rules, 2026, rule 18(3)</w:t>
            </w:r>
          </w:p>
        </w:tc>
      </w:tr>
      <w:tr>
        <w:tc>
          <w:tcPr>
            <w:tcW w:type="dxa" w:w="6192"/>
          </w:tcPr>
          <w:p>
            <w:pPr>
              <w:spacing w:after="40"/>
            </w:pPr>
            <w:r/>
            <w:r>
              <w:rPr>
                <w:rFonts w:ascii="Calibri" w:hAnsi="Calibri"/>
                <w:color w:val="565656"/>
                <w:sz w:val="18"/>
              </w:rPr>
              <w:t>A mine safety officer holds a DGMS Certificate of Competency instead</w:t>
            </w:r>
          </w:p>
        </w:tc>
        <w:tc>
          <w:tcPr>
            <w:tcW w:type="dxa" w:w="3168"/>
          </w:tcPr>
          <w:p>
            <w:pPr>
              <w:spacing w:after="40"/>
            </w:pPr>
            <w:r/>
            <w:r>
              <w:rPr>
                <w:rFonts w:ascii="Calibri" w:hAnsi="Calibri"/>
                <w:color w:val="565656"/>
                <w:sz w:val="18"/>
              </w:rPr>
              <w:t>OSH (Central) Rules, 2026, rule 20(2)</w:t>
            </w:r>
          </w:p>
        </w:tc>
      </w:tr>
      <w:tr>
        <w:tc>
          <w:tcPr>
            <w:tcW w:type="dxa" w:w="6192"/>
          </w:tcPr>
          <w:p>
            <w:pPr>
              <w:spacing w:after="40"/>
            </w:pPr>
            <w:r/>
            <w:r>
              <w:rPr>
                <w:rFonts w:ascii="Calibri" w:hAnsi="Calibri"/>
                <w:color w:val="565656"/>
                <w:sz w:val="18"/>
              </w:rPr>
              <w:t>But the Code does not reach a prospecting-only mine, or a minor mineral mine, except sections 35, 38, 40, 41 and 44</w:t>
            </w:r>
          </w:p>
        </w:tc>
        <w:tc>
          <w:tcPr>
            <w:tcW w:type="dxa" w:w="3168"/>
          </w:tcPr>
          <w:p>
            <w:pPr>
              <w:spacing w:after="40"/>
            </w:pPr>
            <w:r/>
            <w:r>
              <w:rPr>
                <w:rFonts w:ascii="Calibri" w:hAnsi="Calibri"/>
                <w:color w:val="565656"/>
                <w:sz w:val="18"/>
              </w:rPr>
              <w:t>OSH (Central) Rules, 2026, rule 108(1)</w:t>
            </w:r>
          </w:p>
        </w:tc>
      </w:tr>
      <w:tr>
        <w:tc>
          <w:tcPr>
            <w:tcW w:type="dxa" w:w="6192"/>
          </w:tcPr>
          <w:p>
            <w:pPr>
              <w:spacing w:after="40"/>
            </w:pPr>
            <w:r/>
            <w:r>
              <w:rPr>
                <w:rFonts w:ascii="Calibri" w:hAnsi="Calibri"/>
                <w:color w:val="565656"/>
                <w:sz w:val="18"/>
              </w:rPr>
              <w:t>Seven days to notify once an establishment becomes a mine</w:t>
            </w:r>
          </w:p>
        </w:tc>
        <w:tc>
          <w:tcPr>
            <w:tcW w:type="dxa" w:w="3168"/>
          </w:tcPr>
          <w:p>
            <w:pPr>
              <w:spacing w:after="40"/>
            </w:pPr>
            <w:r/>
            <w:r>
              <w:rPr>
                <w:rFonts w:ascii="Calibri" w:hAnsi="Calibri"/>
                <w:color w:val="565656"/>
                <w:sz w:val="18"/>
              </w:rPr>
              <w:t>OSH (Central) Rules, 2026, rule 108(2)</w:t>
            </w:r>
          </w:p>
        </w:tc>
      </w:tr>
      <w:tr>
        <w:tc>
          <w:tcPr>
            <w:tcW w:type="dxa" w:w="6192"/>
          </w:tcPr>
          <w:p>
            <w:pPr>
              <w:spacing w:after="40"/>
            </w:pPr>
            <w:r/>
            <w:r>
              <w:rPr>
                <w:rFonts w:ascii="Calibri" w:hAnsi="Calibri"/>
                <w:color w:val="565656"/>
                <w:sz w:val="18"/>
              </w:rPr>
              <w:t>Rules may prescribe the MANNER of constituting a Safety Committee, and the manner and purpose of choosing the worker representatives</w:t>
            </w:r>
          </w:p>
        </w:tc>
        <w:tc>
          <w:tcPr>
            <w:tcW w:type="dxa" w:w="3168"/>
          </w:tcPr>
          <w:p>
            <w:pPr>
              <w:spacing w:after="40"/>
            </w:pPr>
            <w:r/>
            <w:r>
              <w:rPr>
                <w:rFonts w:ascii="Calibri" w:hAnsi="Calibri"/>
                <w:color w:val="565656"/>
                <w:sz w:val="18"/>
              </w:rPr>
              <w:t>OSH Code, 2020, s.127(2)(n)</w:t>
            </w:r>
          </w:p>
        </w:tc>
      </w:tr>
      <w:tr>
        <w:tc>
          <w:tcPr>
            <w:tcW w:type="dxa" w:w="6192"/>
          </w:tcPr>
          <w:p>
            <w:pPr>
              <w:spacing w:after="40"/>
            </w:pPr>
            <w:r/>
            <w:r>
              <w:rPr>
                <w:rFonts w:ascii="Calibri" w:hAnsi="Calibri"/>
                <w:color w:val="565656"/>
                <w:sz w:val="18"/>
              </w:rPr>
              <w:t>And squarely the qualifications, duties and number of safety officers</w:t>
            </w:r>
          </w:p>
        </w:tc>
        <w:tc>
          <w:tcPr>
            <w:tcW w:type="dxa" w:w="3168"/>
          </w:tcPr>
          <w:p>
            <w:pPr>
              <w:spacing w:after="40"/>
            </w:pPr>
            <w:r/>
            <w:r>
              <w:rPr>
                <w:rFonts w:ascii="Calibri" w:hAnsi="Calibri"/>
                <w:color w:val="565656"/>
                <w:sz w:val="18"/>
              </w:rPr>
              <w:t>OSH Code, 2020, s.127(2)(o)</w:t>
            </w:r>
          </w:p>
        </w:tc>
      </w:tr>
      <w:tr>
        <w:tc>
          <w:tcPr>
            <w:tcW w:type="dxa" w:w="6192"/>
          </w:tcPr>
          <w:p>
            <w:pPr>
              <w:spacing w:after="40"/>
            </w:pPr>
            <w:r/>
            <w:r>
              <w:rPr>
                <w:rFonts w:ascii="Calibri" w:hAnsi="Calibri"/>
                <w:color w:val="565656"/>
                <w:sz w:val="18"/>
              </w:rPr>
              <w:t>That penalty is imposed by an officer after an enquiry, with an appeal, not by a court on the spot</w:t>
            </w:r>
          </w:p>
        </w:tc>
        <w:tc>
          <w:tcPr>
            <w:tcW w:type="dxa" w:w="3168"/>
          </w:tcPr>
          <w:p>
            <w:pPr>
              <w:spacing w:after="40"/>
            </w:pPr>
            <w:r/>
            <w:r>
              <w:rPr>
                <w:rFonts w:ascii="Calibri" w:hAnsi="Calibri"/>
                <w:color w:val="565656"/>
                <w:sz w:val="18"/>
              </w:rPr>
              <w:t>OSH Code, 2020, s.111</w:t>
            </w:r>
          </w:p>
        </w:tc>
      </w:tr>
      <w:tr>
        <w:tc>
          <w:tcPr>
            <w:tcW w:type="dxa" w:w="6192"/>
          </w:tcPr>
          <w:p>
            <w:pPr>
              <w:spacing w:after="40"/>
            </w:pPr>
            <w:r/>
            <w:r>
              <w:rPr>
                <w:rFonts w:ascii="Calibri" w:hAnsi="Calibri"/>
                <w:color w:val="565656"/>
                <w:sz w:val="18"/>
              </w:rPr>
              <w:t>And it may be compounded for fifty per cent of the maximum, before or after the enquiry, which discharges it</w:t>
            </w:r>
          </w:p>
        </w:tc>
        <w:tc>
          <w:tcPr>
            <w:tcW w:type="dxa" w:w="3168"/>
          </w:tcPr>
          <w:p>
            <w:pPr>
              <w:spacing w:after="40"/>
            </w:pPr>
            <w:r/>
            <w:r>
              <w:rPr>
                <w:rFonts w:ascii="Calibri" w:hAnsi="Calibri"/>
                <w:color w:val="565656"/>
                <w:sz w:val="18"/>
              </w:rPr>
              <w:t>OSH Code, 2020, s.114(1) and (2)</w:t>
            </w:r>
          </w:p>
        </w:tc>
      </w:tr>
      <w:tr>
        <w:tc>
          <w:tcPr>
            <w:tcW w:type="dxa" w:w="6192"/>
          </w:tcPr>
          <w:p>
            <w:pPr>
              <w:spacing w:after="40"/>
            </w:pPr>
            <w:r/>
            <w:r>
              <w:rPr>
                <w:rFonts w:ascii="Calibri" w:hAnsi="Calibri"/>
                <w:color w:val="565656"/>
                <w:sz w:val="18"/>
              </w:rPr>
              <w:t>The eleven duties, for dock work and construction</w:t>
            </w:r>
          </w:p>
        </w:tc>
        <w:tc>
          <w:tcPr>
            <w:tcW w:type="dxa" w:w="3168"/>
          </w:tcPr>
          <w:p>
            <w:pPr>
              <w:spacing w:after="40"/>
            </w:pPr>
            <w:r/>
            <w:r>
              <w:rPr>
                <w:rFonts w:ascii="Calibri" w:hAnsi="Calibri"/>
                <w:color w:val="565656"/>
                <w:sz w:val="18"/>
              </w:rPr>
              <w:t>OSH (Central) Rules, 2026, rule 19</w:t>
            </w:r>
          </w:p>
        </w:tc>
      </w:tr>
      <w:tr>
        <w:tc>
          <w:tcPr>
            <w:tcW w:type="dxa" w:w="6192"/>
          </w:tcPr>
          <w:p>
            <w:pPr>
              <w:spacing w:after="40"/>
            </w:pPr>
            <w:r/>
            <w:r>
              <w:rPr>
                <w:rFonts w:ascii="Calibri" w:hAnsi="Calibri"/>
                <w:color w:val="565656"/>
                <w:sz w:val="18"/>
              </w:rPr>
              <w:t>A mine's safety officer has eleven DIFFERENT duties</w:t>
            </w:r>
          </w:p>
        </w:tc>
        <w:tc>
          <w:tcPr>
            <w:tcW w:type="dxa" w:w="3168"/>
          </w:tcPr>
          <w:p>
            <w:pPr>
              <w:spacing w:after="40"/>
            </w:pPr>
            <w:r/>
            <w:r>
              <w:rPr>
                <w:rFonts w:ascii="Calibri" w:hAnsi="Calibri"/>
                <w:color w:val="565656"/>
                <w:sz w:val="18"/>
              </w:rPr>
              <w:t>OSH (Central) Rules, 2026, rule 21(5)</w:t>
            </w:r>
          </w:p>
        </w:tc>
      </w:tr>
      <w:tr>
        <w:tc>
          <w:tcPr>
            <w:tcW w:type="dxa" w:w="6192"/>
          </w:tcPr>
          <w:p>
            <w:pPr>
              <w:spacing w:after="40"/>
            </w:pPr>
            <w:r/>
            <w:r>
              <w:rPr>
                <w:rFonts w:ascii="Calibri" w:hAnsi="Calibri"/>
                <w:color w:val="565656"/>
                <w:sz w:val="18"/>
              </w:rPr>
              <w:t>And except in an emergency no other duties may be assigned to them</w:t>
            </w:r>
          </w:p>
        </w:tc>
        <w:tc>
          <w:tcPr>
            <w:tcW w:type="dxa" w:w="3168"/>
          </w:tcPr>
          <w:p>
            <w:pPr>
              <w:spacing w:after="40"/>
            </w:pPr>
            <w:r/>
            <w:r>
              <w:rPr>
                <w:rFonts w:ascii="Calibri" w:hAnsi="Calibri"/>
                <w:color w:val="565656"/>
                <w:sz w:val="18"/>
              </w:rPr>
              <w:t>OSH (Central) Rules, 2026, rule 21(3)</w:t>
            </w:r>
          </w:p>
        </w:tc>
      </w:tr>
      <w:tr>
        <w:tc>
          <w:tcPr>
            <w:tcW w:type="dxa" w:w="6192"/>
          </w:tcPr>
          <w:p>
            <w:pPr>
              <w:spacing w:after="40"/>
            </w:pPr>
            <w:r/>
            <w:r>
              <w:rPr>
                <w:rFonts w:ascii="Calibri" w:hAnsi="Calibri"/>
                <w:color w:val="565656"/>
                <w:sz w:val="18"/>
              </w:rPr>
              <w:t>Adequate representation of women, not less than their proportion of the workforce, where the workers choose their own representatives</w:t>
            </w:r>
          </w:p>
        </w:tc>
        <w:tc>
          <w:tcPr>
            <w:tcW w:type="dxa" w:w="3168"/>
          </w:tcPr>
          <w:p>
            <w:pPr>
              <w:spacing w:after="40"/>
            </w:pPr>
            <w:r/>
            <w:r>
              <w:rPr>
                <w:rFonts w:ascii="Calibri" w:hAnsi="Calibri"/>
                <w:color w:val="565656"/>
                <w:sz w:val="18"/>
              </w:rPr>
              <w:t>OSH (Central) Rules, 2026, rule 15(4)(b), second proviso</w:t>
            </w:r>
          </w:p>
        </w:tc>
      </w:tr>
      <w:tr>
        <w:tc>
          <w:tcPr>
            <w:tcW w:type="dxa" w:w="6192"/>
          </w:tcPr>
          <w:p>
            <w:pPr>
              <w:spacing w:after="40"/>
            </w:pPr>
            <w:r/>
            <w:r>
              <w:rPr>
                <w:rFonts w:ascii="Calibri" w:hAnsi="Calibri"/>
                <w:color w:val="565656"/>
                <w:sz w:val="18"/>
              </w:rPr>
              <w:t>A dispute about choosing them goes to the Regional Labour Commissioner (Central)</w:t>
            </w:r>
          </w:p>
        </w:tc>
        <w:tc>
          <w:tcPr>
            <w:tcW w:type="dxa" w:w="3168"/>
          </w:tcPr>
          <w:p>
            <w:pPr>
              <w:spacing w:after="40"/>
            </w:pPr>
            <w:r/>
            <w:r>
              <w:rPr>
                <w:rFonts w:ascii="Calibri" w:hAnsi="Calibri"/>
                <w:color w:val="565656"/>
                <w:sz w:val="18"/>
              </w:rPr>
              <w:t>OSH (Central) Rules, 2026, rule 15(4)(b), third proviso</w:t>
            </w:r>
          </w:p>
        </w:tc>
      </w:tr>
      <w:tr>
        <w:tc>
          <w:tcPr>
            <w:tcW w:type="dxa" w:w="6192"/>
          </w:tcPr>
          <w:p>
            <w:pPr>
              <w:spacing w:after="40"/>
            </w:pPr>
            <w:r/>
            <w:r>
              <w:rPr>
                <w:rFonts w:ascii="Calibri" w:hAnsi="Calibri"/>
                <w:color w:val="565656"/>
                <w:sz w:val="18"/>
              </w:rPr>
              <w:t>The minutes of the meeting shall be recorded</w:t>
            </w:r>
          </w:p>
        </w:tc>
        <w:tc>
          <w:tcPr>
            <w:tcW w:type="dxa" w:w="3168"/>
          </w:tcPr>
          <w:p>
            <w:pPr>
              <w:spacing w:after="40"/>
            </w:pPr>
            <w:r/>
            <w:r>
              <w:rPr>
                <w:rFonts w:ascii="Calibri" w:hAnsi="Calibri"/>
                <w:color w:val="565656"/>
                <w:sz w:val="18"/>
              </w:rPr>
              <w:t>OSH (Central) Rules, 2026, rule 15(5)</w:t>
            </w:r>
          </w:p>
        </w:tc>
      </w:tr>
      <w:tr>
        <w:tc>
          <w:tcPr>
            <w:tcW w:type="dxa" w:w="6192"/>
          </w:tcPr>
          <w:p>
            <w:pPr>
              <w:spacing w:after="40"/>
            </w:pPr>
            <w:r/>
            <w:r>
              <w:rPr>
                <w:rFonts w:ascii="Calibri" w:hAnsi="Calibri"/>
                <w:color w:val="565656"/>
                <w:sz w:val="18"/>
              </w:rPr>
              <w:t>Seven statutory functions of the Safety Committee</w:t>
            </w:r>
          </w:p>
        </w:tc>
        <w:tc>
          <w:tcPr>
            <w:tcW w:type="dxa" w:w="3168"/>
          </w:tcPr>
          <w:p>
            <w:pPr>
              <w:spacing w:after="40"/>
            </w:pPr>
            <w:r/>
            <w:r>
              <w:rPr>
                <w:rFonts w:ascii="Calibri" w:hAnsi="Calibri"/>
                <w:color w:val="565656"/>
                <w:sz w:val="18"/>
              </w:rPr>
              <w:t>OSH (Central) Rules, 2026, rule 15(6)</w:t>
            </w:r>
          </w:p>
        </w:tc>
      </w:tr>
      <w:tr>
        <w:tc>
          <w:tcPr>
            <w:tcW w:type="dxa" w:w="6192"/>
          </w:tcPr>
          <w:p>
            <w:pPr>
              <w:spacing w:after="40"/>
            </w:pPr>
            <w:r/>
            <w:r>
              <w:rPr>
                <w:rFonts w:ascii="Calibri" w:hAnsi="Calibri"/>
                <w:color w:val="565656"/>
                <w:sz w:val="18"/>
              </w:rPr>
              <w:t>The record in a bound paged book or non-editable electronic form</w:t>
            </w:r>
          </w:p>
        </w:tc>
        <w:tc>
          <w:tcPr>
            <w:tcW w:type="dxa" w:w="3168"/>
          </w:tcPr>
          <w:p>
            <w:pPr>
              <w:spacing w:after="40"/>
            </w:pPr>
            <w:r/>
            <w:r>
              <w:rPr>
                <w:rFonts w:ascii="Calibri" w:hAnsi="Calibri"/>
                <w:color w:val="565656"/>
                <w:sz w:val="18"/>
              </w:rPr>
              <w:t>OSH (Central) Rules, 2026, rule 19(k)</w:t>
            </w:r>
          </w:p>
        </w:tc>
      </w:tr>
      <w:tr>
        <w:tc>
          <w:tcPr>
            <w:tcW w:type="dxa" w:w="6192"/>
          </w:tcPr>
          <w:p>
            <w:pPr>
              <w:spacing w:after="40"/>
            </w:pPr>
            <w:r/>
            <w:r>
              <w:rPr>
                <w:rFonts w:ascii="Calibri" w:hAnsi="Calibri"/>
                <w:color w:val="565656"/>
                <w:sz w:val="18"/>
              </w:rPr>
              <w:t>Safety officer scale for mines, one per five hundred</w:t>
            </w:r>
          </w:p>
        </w:tc>
        <w:tc>
          <w:tcPr>
            <w:tcW w:type="dxa" w:w="3168"/>
          </w:tcPr>
          <w:p>
            <w:pPr>
              <w:spacing w:after="40"/>
            </w:pPr>
            <w:r/>
            <w:r>
              <w:rPr>
                <w:rFonts w:ascii="Calibri" w:hAnsi="Calibri"/>
                <w:color w:val="565656"/>
                <w:sz w:val="18"/>
              </w:rPr>
              <w:t>OSH (Central) Rules, 2026, rule 20(1)</w:t>
            </w:r>
          </w:p>
        </w:tc>
      </w:tr>
      <w:tr>
        <w:tc>
          <w:tcPr>
            <w:tcW w:type="dxa" w:w="6192"/>
          </w:tcPr>
          <w:p>
            <w:pPr>
              <w:spacing w:after="40"/>
            </w:pPr>
            <w:r/>
            <w:r>
              <w:rPr>
                <w:rFonts w:ascii="Calibri" w:hAnsi="Calibri"/>
                <w:color w:val="565656"/>
                <w:sz w:val="18"/>
              </w:rPr>
              <w:t>The appropriate Government is the Centre for railways, mines, oil fields, major ports, air transport, telecommunication, banking and insurance under a Central Act and central public sector undertakings</w:t>
            </w:r>
          </w:p>
        </w:tc>
        <w:tc>
          <w:tcPr>
            <w:tcW w:type="dxa" w:w="3168"/>
          </w:tcPr>
          <w:p>
            <w:pPr>
              <w:spacing w:after="40"/>
            </w:pPr>
            <w:r/>
            <w:r>
              <w:rPr>
                <w:rFonts w:ascii="Calibri" w:hAnsi="Calibri"/>
                <w:color w:val="565656"/>
                <w:sz w:val="18"/>
              </w:rPr>
              <w:t>OSH Code, 2020, s.2</w:t>
            </w:r>
          </w:p>
        </w:tc>
      </w:tr>
      <w:tr>
        <w:tc>
          <w:tcPr>
            <w:tcW w:type="dxa" w:w="6192"/>
          </w:tcPr>
          <w:p>
            <w:pPr>
              <w:spacing w:after="40"/>
            </w:pPr>
            <w:r/>
            <w:r>
              <w:rPr>
                <w:rFonts w:ascii="Calibri" w:hAnsi="Calibri"/>
                <w:color w:val="565656"/>
                <w:sz w:val="18"/>
              </w:rPr>
              <w:t>Contravention of the Code or the rules: penalty of not less than ₹2,00,000 and up to ₹3,00,000</w:t>
            </w:r>
          </w:p>
        </w:tc>
        <w:tc>
          <w:tcPr>
            <w:tcW w:type="dxa" w:w="3168"/>
          </w:tcPr>
          <w:p>
            <w:pPr>
              <w:spacing w:after="40"/>
            </w:pPr>
            <w:r/>
            <w:r>
              <w:rPr>
                <w:rFonts w:ascii="Calibri" w:hAnsi="Calibri"/>
                <w:color w:val="565656"/>
                <w:sz w:val="18"/>
              </w:rPr>
              <w:t>OSH Code, 2020, s.94</w:t>
            </w:r>
          </w:p>
        </w:tc>
      </w:tr>
      <w:tr>
        <w:tc>
          <w:tcPr>
            <w:tcW w:type="dxa" w:w="6192"/>
          </w:tcPr>
          <w:p>
            <w:pPr>
              <w:spacing w:after="40"/>
            </w:pPr>
            <w:r/>
            <w:r>
              <w:rPr>
                <w:rFonts w:ascii="Calibri" w:hAnsi="Calibri"/>
                <w:color w:val="565656"/>
                <w:sz w:val="18"/>
              </w:rPr>
              <w:t>And ₹2,000 a day if it continues after conviction</w:t>
            </w:r>
          </w:p>
        </w:tc>
        <w:tc>
          <w:tcPr>
            <w:tcW w:type="dxa" w:w="3168"/>
          </w:tcPr>
          <w:p>
            <w:pPr>
              <w:spacing w:after="40"/>
            </w:pPr>
            <w:r/>
            <w:r>
              <w:rPr>
                <w:rFonts w:ascii="Calibri" w:hAnsi="Calibri"/>
                <w:color w:val="565656"/>
                <w:sz w:val="18"/>
              </w:rPr>
              <w:t>OSH Code, 2020, s.94</w:t>
            </w:r>
          </w:p>
        </w:tc>
      </w:tr>
    </w:tbl>
    <w:p>
      <w:pPr>
        <w:keepNext w:val="0"/>
        <w:spacing w:after="200" w:before="0"/>
      </w:pPr>
      <w:r>
        <w:rPr>
          <w:rFonts w:ascii="Calibri" w:hAnsi="Calibri"/>
          <w:b w:val="0"/>
          <w:i w:val="0"/>
          <w:color w:val="1D1D1D"/>
          <w:sz w:val="21"/>
        </w:rPr>
      </w:r>
    </w:p>
    <w:p>
      <w:pPr>
        <w:keepNext w:val="0"/>
        <w:spacing w:after="160" w:before="0"/>
      </w:pPr>
      <w:r>
        <w:rPr>
          <w:rFonts w:ascii="Calibri" w:hAnsi="Calibri"/>
          <w:b w:val="0"/>
          <w:i/>
          <w:color w:val="565656"/>
          <w:sz w:val="18"/>
        </w:rPr>
        <w:t>All forty citations above were read at their own provision in the two gazettes on 25-Sep-2026, not quoted from commentary.</w:t>
      </w:r>
    </w:p>
    <w:p>
      <w:pPr>
        <w:keepNext w:val="0"/>
        <w:spacing w:after="120" w:before="0"/>
      </w:pPr>
      <w:r>
        <w:rPr>
          <w:rFonts w:ascii="Calibri" w:hAnsi="Calibri"/>
          <w:b w:val="0"/>
          <w:i/>
          <w:color w:val="565656"/>
          <w:sz w:val="18"/>
        </w:rPr>
        <w:t>This pack is general information about a central statute and the Central Government's rules under it, not legal advice on your establishment. Section 22 binds you wherever you are. The rules quoted here bind where the CENTRE is your appropriate Government, which section 2 of the Code confines to railways, mines, oil fields, major ports, air transport, telecommunication, banking and insurance under a Central Act, central public sector undertakings and contractors for them. If yours is a factory, your State prescribes the number, the qualifications and the duties, and you should read its rules before relying on any figure in this pack.</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8A8A8A"/>
        <w:sz w:val="15"/>
      </w:rPr>
      <w:t xml:space="preserve">Attendo (formerly Petpooja Payroll)  ·  attendohr.com  ·  Grievance Redressal Committee Pack  ·  reviewed 25-Sep-2026  ·  page </w:t>
    </w:r>
    <w:r>
      <w:rPr>
        <w:rFonts w:ascii="Calibri" w:hAnsi="Calibri"/>
        <w:color w:val="8A8A8A"/>
        <w:sz w:val="15"/>
      </w:rPr>
      <w:fldChar w:fldCharType="begin"/>
    </w:r>
    <w:r>
      <w:rPr>
        <w:rFonts w:ascii="Calibri" w:hAnsi="Calibri"/>
        <w:color w:val="8A8A8A"/>
        <w:sz w:val="15"/>
      </w:rPr>
      <w:instrText xml:space="preserve"> PAGE </w:instrText>
    </w:r>
    <w:r>
      <w:rPr>
        <w:rFonts w:ascii="Calibri" w:hAnsi="Calibri"/>
        <w:color w:val="8A8A8A"/>
        <w:sz w:val="15"/>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D1D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Safety Officer and Safety Committee</dc:title>
  <dc:subject/>
  <dc:creator>Attendo</dc:creator>
  <cp:keywords/>
  <dc:description>Built on section 22 of the OSH Code, 2020 and rules 14 to 21 and 108 of the OSH (Central) Rules, 2026. Reviewed 25-Sep-2026.</dc:description>
  <cp:lastModifiedBy/>
  <cp:revision>1</cp:revision>
  <dcterms:created xsi:type="dcterms:W3CDTF">2013-12-23T23:15:00Z</dcterms:created>
  <dcterms:modified xsi:type="dcterms:W3CDTF">2013-12-23T23:15:00Z</dcterms:modified>
  <cp:category/>
</cp:coreProperties>
</file>