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after="80" w:before="800"/>
      </w:pPr>
      <w:r>
        <w:rPr>
          <w:rFonts w:ascii="Calibri" w:hAnsi="Calibri"/>
          <w:b/>
          <w:i w:val="0"/>
          <w:color w:val="0069A4"/>
          <w:sz w:val="18"/>
        </w:rPr>
        <w:t>ATTENDO PRESENTS</w:t>
      </w:r>
    </w:p>
    <w:p>
      <w:pPr>
        <w:keepNext w:val="0"/>
        <w:spacing w:after="40" w:before="0"/>
      </w:pPr>
      <w:r>
        <w:rPr>
          <w:rFonts w:ascii="Calibri" w:hAnsi="Calibri"/>
          <w:b/>
          <w:i w:val="0"/>
          <w:color w:val="1D1D1D"/>
          <w:sz w:val="52"/>
        </w:rPr>
        <w:t>Notice Period Recovery and Buyout Templates</w:t>
      </w:r>
    </w:p>
    <w:p>
      <w:pPr>
        <w:keepNext w:val="0"/>
        <w:spacing w:after="320" w:before="0"/>
      </w:pPr>
      <w:r>
        <w:rPr>
          <w:rFonts w:ascii="Calibri" w:hAnsi="Calibri"/>
          <w:b w:val="0"/>
          <w:i w:val="0"/>
          <w:color w:val="565656"/>
          <w:sz w:val="26"/>
        </w:rPr>
        <w:t>Built on section 18 of the Code on Wages, 2019</w:t>
      </w:r>
    </w:p>
    <w:p>
      <w:pPr>
        <w:spacing w:after="160" w:before="160"/>
        <w:pBdr>
          <w:bottom w:val="single" w:sz="6" w:space="1" w:color="D1EAF9"/>
        </w:pBdr>
      </w:pPr>
    </w:p>
    <w:p>
      <w:pPr>
        <w:keepNext w:val="0"/>
        <w:spacing w:after="360" w:before="0"/>
      </w:pPr>
      <w:r>
        <w:rPr>
          <w:rFonts w:ascii="Calibri" w:hAnsi="Calibri"/>
          <w:b w:val="0"/>
          <w:i w:val="0"/>
          <w:color w:val="565656"/>
          <w:sz w:val="20"/>
        </w:rPr>
        <w:t>For Indian employers</w:t>
      </w:r>
    </w:p>
    <w:p>
      <w:pPr>
        <w:keepNext w:val="0"/>
        <w:spacing w:after="60" w:before="0"/>
        <w:ind w:left="360"/>
      </w:pPr>
      <w:r>
        <w:rPr>
          <w:rFonts w:ascii="Calibri" w:hAnsi="Calibri"/>
          <w:b w:val="0"/>
          <w:i w:val="0"/>
          <w:color w:val="565656"/>
          <w:sz w:val="21"/>
        </w:rPr>
        <w:t>•  Why an unserved notice cannot be deducted from the final settlement</w:t>
      </w:r>
    </w:p>
    <w:p>
      <w:pPr>
        <w:keepNext w:val="0"/>
        <w:spacing w:after="60" w:before="0"/>
        <w:ind w:left="360"/>
      </w:pPr>
      <w:r>
        <w:rPr>
          <w:rFonts w:ascii="Calibri" w:hAnsi="Calibri"/>
          <w:b w:val="0"/>
          <w:i w:val="0"/>
          <w:color w:val="565656"/>
          <w:sz w:val="21"/>
        </w:rPr>
        <w:t>•  Why gratuity cannot stand in for it either</w:t>
      </w:r>
    </w:p>
    <w:p>
      <w:pPr>
        <w:keepNext w:val="0"/>
        <w:spacing w:after="60" w:before="0"/>
        <w:ind w:left="360"/>
      </w:pPr>
      <w:r>
        <w:rPr>
          <w:rFonts w:ascii="Calibri" w:hAnsi="Calibri"/>
          <w:b w:val="0"/>
          <w:i w:val="0"/>
          <w:color w:val="565656"/>
          <w:sz w:val="21"/>
        </w:rPr>
        <w:t>•  Six formats, from the notice clause to the demand letter</w:t>
      </w:r>
    </w:p>
    <w:p>
      <w:pPr>
        <w:keepNext w:val="0"/>
        <w:spacing w:after="60" w:before="0"/>
        <w:ind w:left="360"/>
      </w:pPr>
      <w:r>
        <w:rPr>
          <w:rFonts w:ascii="Calibri" w:hAnsi="Calibri"/>
          <w:b w:val="0"/>
          <w:i w:val="0"/>
          <w:color w:val="565656"/>
          <w:sz w:val="21"/>
        </w:rPr>
        <w:t>•  A worksheet for the ceiling of the claim, and for absence on notice</w:t>
      </w:r>
    </w:p>
    <w:p>
      <w:pPr>
        <w:keepNext w:val="0"/>
        <w:spacing w:after="60" w:before="0"/>
        <w:ind w:left="360"/>
      </w:pPr>
      <w:r>
        <w:rPr>
          <w:rFonts w:ascii="Calibri" w:hAnsi="Calibri"/>
          <w:b w:val="0"/>
          <w:i w:val="0"/>
          <w:color w:val="565656"/>
          <w:sz w:val="21"/>
        </w:rPr>
        <w:t>•  Seven mistakes, twelve checks and twenty-four citations</w:t>
      </w:r>
    </w:p>
    <w:p>
      <w:pPr>
        <w:keepNext w:val="0"/>
        <w:spacing w:after="200" w:before="0"/>
      </w:pPr>
      <w:r>
        <w:rPr>
          <w:rFonts w:ascii="Calibri" w:hAnsi="Calibri"/>
          <w:b w:val="0"/>
          <w:i w:val="0"/>
          <w:color w:val="1D1D1D"/>
          <w:sz w:val="21"/>
        </w:rPr>
      </w:r>
    </w:p>
    <w:p>
      <w:pPr>
        <w:keepNext w:val="0"/>
        <w:spacing w:after="120" w:before="0"/>
      </w:pPr>
      <w:r>
        <w:rPr>
          <w:rFonts w:ascii="Calibri" w:hAnsi="Calibri"/>
          <w:b w:val="0"/>
          <w:i/>
          <w:color w:val="565656"/>
          <w:sz w:val="18"/>
        </w:rPr>
        <w:t>From Attendo (formerly Petpooja Payroll). Reviewed 01-Oct-2026. Read from the gazette, not from commentary.</w:t>
      </w:r>
    </w:p>
    <w:p>
      <w:r>
        <w:br w:type="page"/>
      </w:r>
    </w:p>
    <w:p>
      <w:pPr>
        <w:pStyle w:val="Heading1"/>
        <w:keepNext/>
        <w:spacing w:after="200" w:before="80"/>
        <w:ind w:left="115"/>
        <w:shd w:val="clear" w:fill="008CDB"/>
      </w:pPr>
      <w:r>
        <w:rPr>
          <w:rFonts w:ascii="Calibri" w:hAnsi="Calibri"/>
          <w:b/>
          <w:color w:val="FFFFFF"/>
          <w:sz w:val="22"/>
        </w:rPr>
        <w:t>CONTENTS</w:t>
      </w:r>
    </w:p>
    <w:p>
      <w:pPr>
        <w:spacing w:after="80"/>
      </w:pPr>
      <w:r>
        <w:rPr>
          <w:rFonts w:ascii="Calibri" w:hAnsi="Calibri"/>
          <w:b/>
          <w:color w:val="0069A4"/>
          <w:sz w:val="20"/>
        </w:rPr>
        <w:t xml:space="preserve">1.  </w:t>
      </w:r>
      <w:r>
        <w:rPr>
          <w:rFonts w:ascii="Calibri" w:hAnsi="Calibri"/>
          <w:color w:val="1D1D1D"/>
          <w:sz w:val="20"/>
        </w:rPr>
        <w:t>Who this reaches</w:t>
      </w:r>
    </w:p>
    <w:p>
      <w:pPr>
        <w:spacing w:after="80"/>
      </w:pPr>
      <w:r>
        <w:rPr>
          <w:rFonts w:ascii="Calibri" w:hAnsi="Calibri"/>
          <w:b/>
          <w:color w:val="0069A4"/>
          <w:sz w:val="20"/>
        </w:rPr>
        <w:t xml:space="preserve">2.  </w:t>
      </w:r>
      <w:r>
        <w:rPr>
          <w:rFonts w:ascii="Calibri" w:hAnsi="Calibri"/>
          <w:color w:val="1D1D1D"/>
          <w:sz w:val="20"/>
        </w:rPr>
        <w:t>Why notice pay is not a deduction</w:t>
      </w:r>
    </w:p>
    <w:p>
      <w:pPr>
        <w:spacing w:after="80"/>
      </w:pPr>
      <w:r>
        <w:rPr>
          <w:rFonts w:ascii="Calibri" w:hAnsi="Calibri"/>
          <w:b/>
          <w:color w:val="0069A4"/>
          <w:sz w:val="20"/>
        </w:rPr>
        <w:t xml:space="preserve">3.  </w:t>
      </w:r>
      <w:r>
        <w:rPr>
          <w:rFonts w:ascii="Calibri" w:hAnsi="Calibri"/>
          <w:color w:val="1D1D1D"/>
          <w:sz w:val="20"/>
        </w:rPr>
        <w:t>What the model standing orders say, and do not</w:t>
      </w:r>
    </w:p>
    <w:p>
      <w:pPr>
        <w:spacing w:after="80"/>
      </w:pPr>
      <w:r>
        <w:rPr>
          <w:rFonts w:ascii="Calibri" w:hAnsi="Calibri"/>
          <w:b/>
          <w:color w:val="0069A4"/>
          <w:sz w:val="20"/>
        </w:rPr>
        <w:t xml:space="preserve">4.  </w:t>
      </w:r>
      <w:r>
        <w:rPr>
          <w:rFonts w:ascii="Calibri" w:hAnsi="Calibri"/>
          <w:color w:val="1D1D1D"/>
          <w:sz w:val="20"/>
        </w:rPr>
        <w:t>Where gratuity stands</w:t>
      </w:r>
    </w:p>
    <w:p>
      <w:pPr>
        <w:spacing w:after="80"/>
      </w:pPr>
      <w:r>
        <w:rPr>
          <w:rFonts w:ascii="Calibri" w:hAnsi="Calibri"/>
          <w:b/>
          <w:color w:val="0069A4"/>
          <w:sz w:val="20"/>
        </w:rPr>
        <w:t xml:space="preserve">5.  </w:t>
      </w:r>
      <w:r>
        <w:rPr>
          <w:rFonts w:ascii="Calibri" w:hAnsi="Calibri"/>
          <w:color w:val="1D1D1D"/>
          <w:sz w:val="20"/>
        </w:rPr>
        <w:t>Three routes that hold up</w:t>
      </w:r>
    </w:p>
    <w:p>
      <w:pPr>
        <w:spacing w:after="80"/>
      </w:pPr>
      <w:r>
        <w:rPr>
          <w:rFonts w:ascii="Calibri" w:hAnsi="Calibri"/>
          <w:b/>
          <w:color w:val="0069A4"/>
          <w:sz w:val="20"/>
        </w:rPr>
        <w:t xml:space="preserve">6.  </w:t>
      </w:r>
      <w:r>
        <w:rPr>
          <w:rFonts w:ascii="Calibri" w:hAnsi="Calibri"/>
          <w:color w:val="1D1D1D"/>
          <w:sz w:val="20"/>
        </w:rPr>
        <w:t>Six formats, and when to use each</w:t>
      </w:r>
    </w:p>
    <w:p>
      <w:pPr>
        <w:spacing w:after="80"/>
      </w:pPr>
      <w:r>
        <w:rPr>
          <w:rFonts w:ascii="Calibri" w:hAnsi="Calibri"/>
          <w:b/>
          <w:color w:val="0069A4"/>
          <w:sz w:val="20"/>
        </w:rPr>
        <w:t xml:space="preserve">7.  </w:t>
      </w:r>
      <w:r>
        <w:rPr>
          <w:rFonts w:ascii="Calibri" w:hAnsi="Calibri"/>
          <w:color w:val="1D1D1D"/>
          <w:sz w:val="20"/>
        </w:rPr>
        <w:t>The formats</w:t>
      </w:r>
    </w:p>
    <w:p>
      <w:pPr>
        <w:spacing w:after="80"/>
      </w:pPr>
      <w:r>
        <w:rPr>
          <w:rFonts w:ascii="Calibri" w:hAnsi="Calibri"/>
          <w:b/>
          <w:color w:val="0069A4"/>
          <w:sz w:val="20"/>
        </w:rPr>
        <w:t xml:space="preserve">8.  </w:t>
      </w:r>
      <w:r>
        <w:rPr>
          <w:rFonts w:ascii="Calibri" w:hAnsi="Calibri"/>
          <w:color w:val="1D1D1D"/>
          <w:sz w:val="20"/>
        </w:rPr>
        <w:t>Seven mistakes employers make</w:t>
      </w:r>
    </w:p>
    <w:p>
      <w:pPr>
        <w:spacing w:after="80"/>
      </w:pPr>
      <w:r>
        <w:rPr>
          <w:rFonts w:ascii="Calibri" w:hAnsi="Calibri"/>
          <w:b/>
          <w:color w:val="0069A4"/>
          <w:sz w:val="20"/>
        </w:rPr>
        <w:t xml:space="preserve">9.  </w:t>
      </w:r>
      <w:r>
        <w:rPr>
          <w:rFonts w:ascii="Calibri" w:hAnsi="Calibri"/>
          <w:color w:val="1D1D1D"/>
          <w:sz w:val="20"/>
        </w:rPr>
        <w:t>Twelve checks, and where every line comes from</w:t>
      </w:r>
    </w:p>
    <w:p>
      <w:pPr>
        <w:keepNext w:val="0"/>
        <w:spacing w:after="160" w:before="0"/>
      </w:pPr>
      <w:r>
        <w:rPr>
          <w:rFonts w:ascii="Calibri" w:hAnsi="Calibri"/>
          <w:b w:val="0"/>
          <w:i w:val="0"/>
          <w:color w:val="1D1D1D"/>
          <w:sz w:val="21"/>
        </w:rPr>
      </w:r>
    </w:p>
    <w:p>
      <w:pPr>
        <w:keepNext w:val="0"/>
        <w:spacing w:after="160" w:before="0"/>
        <w:ind w:left="216"/>
        <w:shd w:val="clear" w:fill="F4FAFE"/>
      </w:pPr>
      <w:r>
        <w:rPr>
          <w:rFonts w:ascii="Calibri" w:hAnsi="Calibri"/>
          <w:b w:val="0"/>
          <w:i w:val="0"/>
          <w:color w:val="1D1D1D"/>
          <w:sz w:val="20"/>
        </w:rPr>
        <w:t>In a hurry? Go straight to section 7 for the six formats, and use section 6 to pick the one you need. Someone has just resigned: Format 02 today, Format 04 within two working days of their last day. Sections 1 to 5 explain why the formats are written the way they are.</w:t>
      </w:r>
    </w:p>
    <w:p>
      <w:r>
        <w:br w:type="page"/>
      </w:r>
    </w:p>
    <w:p>
      <w:pPr>
        <w:pStyle w:val="Heading1"/>
        <w:keepNext/>
        <w:spacing w:after="200" w:before="80"/>
        <w:ind w:left="115"/>
        <w:shd w:val="clear" w:fill="008CDB"/>
      </w:pPr>
      <w:r>
        <w:rPr>
          <w:rFonts w:ascii="Calibri" w:hAnsi="Calibri"/>
          <w:b/>
          <w:color w:val="FFFFFF"/>
          <w:sz w:val="22"/>
        </w:rPr>
        <w:t>1.  WHO THIS REACHES</w:t>
      </w:r>
    </w:p>
    <w:p>
      <w:pPr>
        <w:keepNext w:val="0"/>
        <w:spacing w:after="160" w:before="0"/>
      </w:pPr>
      <w:r>
        <w:rPr>
          <w:rFonts w:ascii="Calibri" w:hAnsi="Calibri"/>
          <w:b w:val="0"/>
          <w:i w:val="0"/>
          <w:color w:val="565656"/>
          <w:sz w:val="20"/>
        </w:rPr>
        <w:t>Two different instruments, with two different reaches. The deduction bar is the wide one.</w:t>
      </w:r>
    </w:p>
    <w:tbl>
      <w:tblPr>
        <w:tblStyle w:val="TableGrid"/>
        <w:tblW w:type="auto" w:w="0"/>
        <w:tblLook w:firstColumn="1" w:firstRow="1" w:lastColumn="0" w:lastRow="0" w:noHBand="0" w:noVBand="1" w:val="04A0"/>
      </w:tblPr>
      <w:tblGrid>
        <w:gridCol w:w="3216"/>
        <w:gridCol w:w="3216"/>
        <w:gridCol w:w="3216"/>
      </w:tblGrid>
      <w:tr>
        <w:tc>
          <w:tcPr>
            <w:tcW w:type="dxa" w:w="2880"/>
          </w:tcPr>
          <w:p>
            <w:pPr>
              <w:spacing w:after="40"/>
              <w:shd w:val="clear" w:fill="E8F4FC"/>
            </w:pPr>
            <w:r/>
            <w:r>
              <w:rPr>
                <w:rFonts w:ascii="Calibri" w:hAnsi="Calibri"/>
                <w:b/>
                <w:color w:val="0069A4"/>
                <w:sz w:val="18"/>
              </w:rPr>
              <w:t>The layer</w:t>
            </w:r>
          </w:p>
        </w:tc>
        <w:tc>
          <w:tcPr>
            <w:tcW w:type="dxa" w:w="4752"/>
          </w:tcPr>
          <w:p>
            <w:pPr>
              <w:spacing w:after="40"/>
              <w:shd w:val="clear" w:fill="E8F4FC"/>
            </w:pPr>
            <w:r/>
            <w:r>
              <w:rPr>
                <w:rFonts w:ascii="Calibri" w:hAnsi="Calibri"/>
                <w:b/>
                <w:color w:val="0069A4"/>
                <w:sz w:val="18"/>
              </w:rPr>
              <w:t>What it means</w:t>
            </w:r>
          </w:p>
        </w:tc>
        <w:tc>
          <w:tcPr>
            <w:tcW w:type="dxa" w:w="2016"/>
          </w:tcPr>
          <w:p>
            <w:pPr>
              <w:spacing w:after="40"/>
              <w:shd w:val="clear" w:fill="E8F4FC"/>
            </w:pPr>
            <w:r/>
            <w:r>
              <w:rPr>
                <w:rFonts w:ascii="Calibri" w:hAnsi="Calibri"/>
                <w:b/>
                <w:color w:val="0069A4"/>
                <w:sz w:val="18"/>
              </w:rPr>
              <w:t>Provision</w:t>
            </w:r>
          </w:p>
        </w:tc>
      </w:tr>
      <w:tr>
        <w:tc>
          <w:tcPr>
            <w:tcW w:type="dxa" w:w="2880"/>
          </w:tcPr>
          <w:p>
            <w:pPr>
              <w:spacing w:after="40"/>
            </w:pPr>
            <w:r/>
            <w:r>
              <w:rPr>
                <w:rFonts w:ascii="Calibri" w:hAnsi="Calibri"/>
                <w:color w:val="565656"/>
                <w:sz w:val="18"/>
              </w:rPr>
              <w:t>The deduction bar reaches EVERY employee</w:t>
            </w:r>
          </w:p>
        </w:tc>
        <w:tc>
          <w:tcPr>
            <w:tcW w:type="dxa" w:w="4752"/>
          </w:tcPr>
          <w:p>
            <w:pPr>
              <w:spacing w:after="40"/>
            </w:pPr>
            <w:r/>
            <w:r>
              <w:rPr>
                <w:rFonts w:ascii="Calibri" w:hAnsi="Calibri"/>
                <w:color w:val="565656"/>
                <w:sz w:val="18"/>
              </w:rPr>
              <w:t>An employee is anyone, other than an apprentice, employed on wages to do skilled, semi-skilled or unskilled, manual, operational, supervisory, managerial, administrative, technical or clerical work. There is no wage ceiling, so a senior manager is protected exactly as a machine operator is.</w:t>
            </w:r>
          </w:p>
        </w:tc>
        <w:tc>
          <w:tcPr>
            <w:tcW w:type="dxa" w:w="2016"/>
          </w:tcPr>
          <w:p>
            <w:pPr>
              <w:spacing w:after="40"/>
            </w:pPr>
            <w:r/>
            <w:r>
              <w:rPr>
                <w:rFonts w:ascii="Calibri" w:hAnsi="Calibri"/>
                <w:color w:val="565656"/>
                <w:sz w:val="18"/>
              </w:rPr>
              <w:t>Code on Wages, s.2(k)</w:t>
            </w:r>
          </w:p>
        </w:tc>
      </w:tr>
      <w:tr>
        <w:tc>
          <w:tcPr>
            <w:tcW w:type="dxa" w:w="2880"/>
          </w:tcPr>
          <w:p>
            <w:pPr>
              <w:spacing w:after="40"/>
            </w:pPr>
            <w:r/>
            <w:r>
              <w:rPr>
                <w:rFonts w:ascii="Calibri" w:hAnsi="Calibri"/>
                <w:color w:val="565656"/>
                <w:sz w:val="18"/>
              </w:rPr>
              <w:t>Except in a Government establishment</w:t>
            </w:r>
          </w:p>
        </w:tc>
        <w:tc>
          <w:tcPr>
            <w:tcW w:type="dxa" w:w="4752"/>
          </w:tcPr>
          <w:p>
            <w:pPr>
              <w:spacing w:after="40"/>
            </w:pPr>
            <w:r/>
            <w:r>
              <w:rPr>
                <w:rFonts w:ascii="Calibri" w:hAnsi="Calibri"/>
                <w:color w:val="565656"/>
                <w:sz w:val="18"/>
              </w:rPr>
              <w:t>Chapter III, which holds sections 15 to 25, does not apply to Government establishments unless the appropriate Government applies it by notification.</w:t>
            </w:r>
          </w:p>
        </w:tc>
        <w:tc>
          <w:tcPr>
            <w:tcW w:type="dxa" w:w="2016"/>
          </w:tcPr>
          <w:p>
            <w:pPr>
              <w:spacing w:after="40"/>
            </w:pPr>
            <w:r/>
            <w:r>
              <w:rPr>
                <w:rFonts w:ascii="Calibri" w:hAnsi="Calibri"/>
                <w:color w:val="565656"/>
                <w:sz w:val="18"/>
              </w:rPr>
              <w:t>Code on Wages, s.25</w:t>
            </w:r>
          </w:p>
        </w:tc>
      </w:tr>
      <w:tr>
        <w:tc>
          <w:tcPr>
            <w:tcW w:type="dxa" w:w="2880"/>
          </w:tcPr>
          <w:p>
            <w:pPr>
              <w:spacing w:after="40"/>
            </w:pPr>
            <w:r/>
            <w:r>
              <w:rPr>
                <w:rFonts w:ascii="Calibri" w:hAnsi="Calibri"/>
                <w:color w:val="565656"/>
                <w:sz w:val="18"/>
              </w:rPr>
              <w:t>The settlement deadline reaches every employee too</w:t>
            </w:r>
          </w:p>
        </w:tc>
        <w:tc>
          <w:tcPr>
            <w:tcW w:type="dxa" w:w="4752"/>
          </w:tcPr>
          <w:p>
            <w:pPr>
              <w:spacing w:after="40"/>
            </w:pPr>
            <w:r/>
            <w:r>
              <w:rPr>
                <w:rFonts w:ascii="Calibri" w:hAnsi="Calibri"/>
                <w:color w:val="565656"/>
                <w:sz w:val="18"/>
              </w:rPr>
              <w:t>Wages payable on removal, dismissal, retrenchment or resignation are paid within two working days, unless the appropriate Government has set another limit. The section counts from the resignation; this pack reads that as the day it takes effect, the last working day, because wages keep falling due until then.</w:t>
            </w:r>
          </w:p>
        </w:tc>
        <w:tc>
          <w:tcPr>
            <w:tcW w:type="dxa" w:w="2016"/>
          </w:tcPr>
          <w:p>
            <w:pPr>
              <w:spacing w:after="40"/>
            </w:pPr>
            <w:r/>
            <w:r>
              <w:rPr>
                <w:rFonts w:ascii="Calibri" w:hAnsi="Calibri"/>
                <w:color w:val="565656"/>
                <w:sz w:val="18"/>
              </w:rPr>
              <w:t>Code on Wages, s.17(2) and (3)</w:t>
            </w:r>
          </w:p>
        </w:tc>
      </w:tr>
      <w:tr>
        <w:tc>
          <w:tcPr>
            <w:tcW w:type="dxa" w:w="2880"/>
          </w:tcPr>
          <w:p>
            <w:pPr>
              <w:spacing w:after="40"/>
            </w:pPr>
            <w:r/>
            <w:r>
              <w:rPr>
                <w:rFonts w:ascii="Calibri" w:hAnsi="Calibri"/>
                <w:color w:val="565656"/>
                <w:sz w:val="18"/>
              </w:rPr>
              <w:t>The model standing orders reach only 300 or more workers</w:t>
            </w:r>
          </w:p>
        </w:tc>
        <w:tc>
          <w:tcPr>
            <w:tcW w:type="dxa" w:w="4752"/>
          </w:tcPr>
          <w:p>
            <w:pPr>
              <w:spacing w:after="40"/>
            </w:pPr>
            <w:r/>
            <w:r>
              <w:rPr>
                <w:rFonts w:ascii="Calibri" w:hAnsi="Calibri"/>
                <w:color w:val="565656"/>
                <w:sz w:val="18"/>
              </w:rPr>
              <w:t>Chapter IV applies to an industrial establishment with 300 or more workers, or that had 300 on any day of the preceding twelve months, and to WORKERS only: not a person employed mainly in a managerial or administrative capacity, and not a supervisor drawing wages above ₹18,000 a month or another amount the Centre notifies.</w:t>
            </w:r>
          </w:p>
        </w:tc>
        <w:tc>
          <w:tcPr>
            <w:tcW w:type="dxa" w:w="2016"/>
          </w:tcPr>
          <w:p>
            <w:pPr>
              <w:spacing w:after="40"/>
            </w:pPr>
            <w:r/>
            <w:r>
              <w:rPr>
                <w:rFonts w:ascii="Calibri" w:hAnsi="Calibri"/>
                <w:color w:val="565656"/>
                <w:sz w:val="18"/>
              </w:rPr>
              <w:t>IR Code, s.28(1) and s.2(zr)</w:t>
            </w:r>
          </w:p>
        </w:tc>
      </w:tr>
    </w:tbl>
    <w:p>
      <w:pPr>
        <w:keepNext w:val="0"/>
        <w:spacing w:after="160" w:before="0"/>
      </w:pPr>
      <w:r>
        <w:rPr>
          <w:rFonts w:ascii="Calibri" w:hAnsi="Calibri"/>
          <w:b w:val="0"/>
          <w:i w:val="0"/>
          <w:color w:val="1D1D1D"/>
          <w:sz w:val="21"/>
        </w:rPr>
      </w:r>
    </w:p>
    <w:p>
      <w:pPr>
        <w:keepNext w:val="0"/>
        <w:spacing w:after="160" w:before="0"/>
        <w:ind w:left="216"/>
        <w:shd w:val="clear" w:fill="FFF8E8"/>
      </w:pPr>
      <w:r>
        <w:rPr>
          <w:rFonts w:ascii="Calibri" w:hAnsi="Calibri"/>
          <w:b w:val="0"/>
          <w:i w:val="0"/>
          <w:color w:val="1D1D1D"/>
          <w:sz w:val="20"/>
        </w:rPr>
        <w:t>This is the layer that changed. The Payment of Wages Act protected only employees below a wage ceiling, so deducting notice pay from a manager's settlement was outside it. Section 2(k) of the Code on Wages has no ceiling, and the habit has not caught up.</w:t>
      </w:r>
    </w:p>
    <w:p>
      <w:r>
        <w:br w:type="page"/>
      </w:r>
    </w:p>
    <w:p>
      <w:pPr>
        <w:pStyle w:val="Heading1"/>
        <w:keepNext/>
        <w:spacing w:after="200" w:before="80"/>
        <w:ind w:left="115"/>
        <w:shd w:val="clear" w:fill="008CDB"/>
      </w:pPr>
      <w:r>
        <w:rPr>
          <w:rFonts w:ascii="Calibri" w:hAnsi="Calibri"/>
          <w:b/>
          <w:color w:val="FFFFFF"/>
          <w:sz w:val="22"/>
        </w:rPr>
        <w:t>2.  WHY NOTICE PAY IS NOT A DEDUCTION</w:t>
      </w:r>
    </w:p>
    <w:p>
      <w:pPr>
        <w:keepNext w:val="0"/>
        <w:spacing w:after="80" w:before="0"/>
        <w:ind w:left="288"/>
        <w:shd w:val="clear" w:fill="F4FAFE"/>
      </w:pPr>
      <w:r>
        <w:rPr>
          <w:rFonts w:ascii="Calibri" w:hAnsi="Calibri"/>
          <w:b w:val="0"/>
          <w:i/>
          <w:color w:val="1D1D1D"/>
          <w:sz w:val="20"/>
        </w:rPr>
        <w:t>"Notwithstanding anything contained in any other law for the time being in force, there shall be no deductions from the wages of the employee, except those as are authorised under this Code."</w:t>
      </w:r>
    </w:p>
    <w:p>
      <w:pPr>
        <w:keepNext w:val="0"/>
        <w:spacing w:after="160" w:before="0"/>
      </w:pPr>
      <w:r>
        <w:rPr>
          <w:rFonts w:ascii="Calibri" w:hAnsi="Calibri"/>
          <w:b w:val="0"/>
          <w:i w:val="0"/>
          <w:color w:val="565656"/>
          <w:sz w:val="20"/>
        </w:rPr>
        <w:t>Section 18(1). Section 18(2) then says deductions may be made only for the following purposes, and lists fifteen. Here they are in the Code's own order. Recovery of an unserved notice period is not among them.</w:t>
      </w:r>
    </w:p>
    <w:tbl>
      <w:tblPr>
        <w:tblStyle w:val="TableGrid"/>
        <w:tblW w:type="auto" w:w="0"/>
        <w:tblLook w:firstColumn="1" w:firstRow="1" w:lastColumn="0" w:lastRow="0" w:noHBand="0" w:noVBand="1" w:val="04A0"/>
      </w:tblPr>
      <w:tblGrid>
        <w:gridCol w:w="4824"/>
        <w:gridCol w:w="4824"/>
      </w:tblGrid>
      <w:tr>
        <w:tc>
          <w:tcPr>
            <w:tcW w:type="dxa" w:w="1008"/>
          </w:tcPr>
          <w:p>
            <w:pPr>
              <w:spacing w:after="40"/>
              <w:shd w:val="clear" w:fill="E8F4FC"/>
            </w:pPr>
            <w:r/>
            <w:r>
              <w:rPr>
                <w:rFonts w:ascii="Calibri" w:hAnsi="Calibri"/>
                <w:b/>
                <w:color w:val="0069A4"/>
                <w:sz w:val="18"/>
              </w:rPr>
              <w:t>Clause</w:t>
            </w:r>
          </w:p>
        </w:tc>
        <w:tc>
          <w:tcPr>
            <w:tcW w:type="dxa" w:w="8640"/>
          </w:tcPr>
          <w:p>
            <w:pPr>
              <w:spacing w:after="40"/>
              <w:shd w:val="clear" w:fill="E8F4FC"/>
            </w:pPr>
            <w:r/>
            <w:r>
              <w:rPr>
                <w:rFonts w:ascii="Calibri" w:hAnsi="Calibri"/>
                <w:b/>
                <w:color w:val="0069A4"/>
                <w:sz w:val="18"/>
              </w:rPr>
              <w:t>Purpose</w:t>
            </w:r>
          </w:p>
        </w:tc>
      </w:tr>
      <w:tr>
        <w:tc>
          <w:tcPr>
            <w:tcW w:type="dxa" w:w="1008"/>
          </w:tcPr>
          <w:p>
            <w:pPr>
              <w:spacing w:after="40"/>
            </w:pPr>
            <w:r/>
            <w:r>
              <w:rPr>
                <w:rFonts w:ascii="Calibri" w:hAnsi="Calibri"/>
                <w:color w:val="565656"/>
                <w:sz w:val="18"/>
              </w:rPr>
              <w:t>(a)</w:t>
            </w:r>
          </w:p>
        </w:tc>
        <w:tc>
          <w:tcPr>
            <w:tcW w:type="dxa" w:w="8640"/>
          </w:tcPr>
          <w:p>
            <w:pPr>
              <w:spacing w:after="40"/>
            </w:pPr>
            <w:r/>
            <w:r>
              <w:rPr>
                <w:rFonts w:ascii="Calibri" w:hAnsi="Calibri"/>
                <w:color w:val="565656"/>
                <w:sz w:val="18"/>
              </w:rPr>
              <w:t>Fines imposed on him</w:t>
            </w:r>
          </w:p>
        </w:tc>
      </w:tr>
      <w:tr>
        <w:tc>
          <w:tcPr>
            <w:tcW w:type="dxa" w:w="1008"/>
          </w:tcPr>
          <w:p>
            <w:pPr>
              <w:spacing w:after="40"/>
            </w:pPr>
            <w:r/>
            <w:r>
              <w:rPr>
                <w:rFonts w:ascii="Calibri" w:hAnsi="Calibri"/>
                <w:color w:val="565656"/>
                <w:sz w:val="18"/>
              </w:rPr>
              <w:t>(b)</w:t>
            </w:r>
          </w:p>
        </w:tc>
        <w:tc>
          <w:tcPr>
            <w:tcW w:type="dxa" w:w="8640"/>
          </w:tcPr>
          <w:p>
            <w:pPr>
              <w:spacing w:after="40"/>
            </w:pPr>
            <w:r/>
            <w:r>
              <w:rPr>
                <w:rFonts w:ascii="Calibri" w:hAnsi="Calibri"/>
                <w:color w:val="565656"/>
                <w:sz w:val="18"/>
              </w:rPr>
              <w:t>Absence from duty</w:t>
            </w:r>
          </w:p>
        </w:tc>
      </w:tr>
      <w:tr>
        <w:tc>
          <w:tcPr>
            <w:tcW w:type="dxa" w:w="1008"/>
          </w:tcPr>
          <w:p>
            <w:pPr>
              <w:spacing w:after="40"/>
            </w:pPr>
            <w:r/>
            <w:r>
              <w:rPr>
                <w:rFonts w:ascii="Calibri" w:hAnsi="Calibri"/>
                <w:color w:val="565656"/>
                <w:sz w:val="18"/>
              </w:rPr>
              <w:t>(c)</w:t>
            </w:r>
          </w:p>
        </w:tc>
        <w:tc>
          <w:tcPr>
            <w:tcW w:type="dxa" w:w="8640"/>
          </w:tcPr>
          <w:p>
            <w:pPr>
              <w:spacing w:after="40"/>
            </w:pPr>
            <w:r/>
            <w:r>
              <w:rPr>
                <w:rFonts w:ascii="Calibri" w:hAnsi="Calibri"/>
                <w:color w:val="565656"/>
                <w:sz w:val="18"/>
              </w:rPr>
              <w:t>Damage to or loss of goods entrusted to him, or loss of money he must account for, directly attributable to his neglect or default</w:t>
            </w:r>
          </w:p>
        </w:tc>
      </w:tr>
      <w:tr>
        <w:tc>
          <w:tcPr>
            <w:tcW w:type="dxa" w:w="1008"/>
          </w:tcPr>
          <w:p>
            <w:pPr>
              <w:spacing w:after="40"/>
            </w:pPr>
            <w:r/>
            <w:r>
              <w:rPr>
                <w:rFonts w:ascii="Calibri" w:hAnsi="Calibri"/>
                <w:color w:val="565656"/>
                <w:sz w:val="18"/>
              </w:rPr>
              <w:t>(d)</w:t>
            </w:r>
          </w:p>
        </w:tc>
        <w:tc>
          <w:tcPr>
            <w:tcW w:type="dxa" w:w="8640"/>
          </w:tcPr>
          <w:p>
            <w:pPr>
              <w:spacing w:after="40"/>
            </w:pPr>
            <w:r/>
            <w:r>
              <w:rPr>
                <w:rFonts w:ascii="Calibri" w:hAnsi="Calibri"/>
                <w:color w:val="565656"/>
                <w:sz w:val="18"/>
              </w:rPr>
              <w:t>House-accommodation supplied</w:t>
            </w:r>
          </w:p>
        </w:tc>
      </w:tr>
      <w:tr>
        <w:tc>
          <w:tcPr>
            <w:tcW w:type="dxa" w:w="1008"/>
          </w:tcPr>
          <w:p>
            <w:pPr>
              <w:spacing w:after="40"/>
            </w:pPr>
            <w:r/>
            <w:r>
              <w:rPr>
                <w:rFonts w:ascii="Calibri" w:hAnsi="Calibri"/>
                <w:color w:val="565656"/>
                <w:sz w:val="18"/>
              </w:rPr>
              <w:t>(e)</w:t>
            </w:r>
          </w:p>
        </w:tc>
        <w:tc>
          <w:tcPr>
            <w:tcW w:type="dxa" w:w="8640"/>
          </w:tcPr>
          <w:p>
            <w:pPr>
              <w:spacing w:after="40"/>
            </w:pPr>
            <w:r/>
            <w:r>
              <w:rPr>
                <w:rFonts w:ascii="Calibri" w:hAnsi="Calibri"/>
                <w:color w:val="565656"/>
                <w:sz w:val="18"/>
              </w:rPr>
              <w:t>Amenities and services the appropriate Government authorises</w:t>
            </w:r>
          </w:p>
        </w:tc>
      </w:tr>
      <w:tr>
        <w:tc>
          <w:tcPr>
            <w:tcW w:type="dxa" w:w="1008"/>
          </w:tcPr>
          <w:p>
            <w:pPr>
              <w:spacing w:after="40"/>
            </w:pPr>
            <w:r/>
            <w:r>
              <w:rPr>
                <w:rFonts w:ascii="Calibri" w:hAnsi="Calibri"/>
                <w:color w:val="565656"/>
                <w:sz w:val="18"/>
              </w:rPr>
              <w:t>(f)</w:t>
            </w:r>
          </w:p>
        </w:tc>
        <w:tc>
          <w:tcPr>
            <w:tcW w:type="dxa" w:w="8640"/>
          </w:tcPr>
          <w:p>
            <w:pPr>
              <w:spacing w:after="40"/>
            </w:pPr>
            <w:r/>
            <w:r>
              <w:rPr>
                <w:rFonts w:ascii="Calibri" w:hAnsi="Calibri"/>
                <w:color w:val="565656"/>
                <w:sz w:val="18"/>
              </w:rPr>
              <w:t>Recovery of advances of whatever nature and interest, or adjustment of overpayment of wages; and loans from a labour welfare fund</w:t>
            </w:r>
          </w:p>
        </w:tc>
      </w:tr>
      <w:tr>
        <w:tc>
          <w:tcPr>
            <w:tcW w:type="dxa" w:w="1008"/>
          </w:tcPr>
          <w:p>
            <w:pPr>
              <w:spacing w:after="40"/>
            </w:pPr>
            <w:r/>
            <w:r>
              <w:rPr>
                <w:rFonts w:ascii="Calibri" w:hAnsi="Calibri"/>
                <w:color w:val="565656"/>
                <w:sz w:val="18"/>
              </w:rPr>
              <w:t>(g)</w:t>
            </w:r>
          </w:p>
        </w:tc>
        <w:tc>
          <w:tcPr>
            <w:tcW w:type="dxa" w:w="8640"/>
          </w:tcPr>
          <w:p>
            <w:pPr>
              <w:spacing w:after="40"/>
            </w:pPr>
            <w:r/>
            <w:r>
              <w:rPr>
                <w:rFonts w:ascii="Calibri" w:hAnsi="Calibri"/>
                <w:color w:val="565656"/>
                <w:sz w:val="18"/>
              </w:rPr>
              <w:t>Loans for house-building or other approved purposes</w:t>
            </w:r>
          </w:p>
        </w:tc>
      </w:tr>
      <w:tr>
        <w:tc>
          <w:tcPr>
            <w:tcW w:type="dxa" w:w="1008"/>
          </w:tcPr>
          <w:p>
            <w:pPr>
              <w:spacing w:after="40"/>
            </w:pPr>
            <w:r/>
            <w:r>
              <w:rPr>
                <w:rFonts w:ascii="Calibri" w:hAnsi="Calibri"/>
                <w:color w:val="565656"/>
                <w:sz w:val="18"/>
              </w:rPr>
              <w:t>(h)</w:t>
            </w:r>
          </w:p>
        </w:tc>
        <w:tc>
          <w:tcPr>
            <w:tcW w:type="dxa" w:w="8640"/>
          </w:tcPr>
          <w:p>
            <w:pPr>
              <w:spacing w:after="40"/>
            </w:pPr>
            <w:r/>
            <w:r>
              <w:rPr>
                <w:rFonts w:ascii="Calibri" w:hAnsi="Calibri"/>
                <w:color w:val="565656"/>
                <w:sz w:val="18"/>
              </w:rPr>
              <w:t>Income-tax or another statutory levy, or a deduction required by order of a court or competent authority</w:t>
            </w:r>
          </w:p>
        </w:tc>
      </w:tr>
      <w:tr>
        <w:tc>
          <w:tcPr>
            <w:tcW w:type="dxa" w:w="1008"/>
          </w:tcPr>
          <w:p>
            <w:pPr>
              <w:spacing w:after="40"/>
            </w:pPr>
            <w:r/>
            <w:r>
              <w:rPr>
                <w:rFonts w:ascii="Calibri" w:hAnsi="Calibri"/>
                <w:color w:val="565656"/>
                <w:sz w:val="18"/>
              </w:rPr>
              <w:t>(i)</w:t>
            </w:r>
          </w:p>
        </w:tc>
        <w:tc>
          <w:tcPr>
            <w:tcW w:type="dxa" w:w="8640"/>
          </w:tcPr>
          <w:p>
            <w:pPr>
              <w:spacing w:after="40"/>
            </w:pPr>
            <w:r/>
            <w:r>
              <w:rPr>
                <w:rFonts w:ascii="Calibri" w:hAnsi="Calibri"/>
                <w:color w:val="565656"/>
                <w:sz w:val="18"/>
              </w:rPr>
              <w:t>Subscriptions and repayments to a social security fund, including provident fund</w:t>
            </w:r>
          </w:p>
        </w:tc>
      </w:tr>
      <w:tr>
        <w:tc>
          <w:tcPr>
            <w:tcW w:type="dxa" w:w="1008"/>
          </w:tcPr>
          <w:p>
            <w:pPr>
              <w:spacing w:after="40"/>
            </w:pPr>
            <w:r/>
            <w:r>
              <w:rPr>
                <w:rFonts w:ascii="Calibri" w:hAnsi="Calibri"/>
                <w:color w:val="565656"/>
                <w:sz w:val="18"/>
              </w:rPr>
              <w:t>(j)</w:t>
            </w:r>
          </w:p>
        </w:tc>
        <w:tc>
          <w:tcPr>
            <w:tcW w:type="dxa" w:w="8640"/>
          </w:tcPr>
          <w:p>
            <w:pPr>
              <w:spacing w:after="40"/>
            </w:pPr>
            <w:r/>
            <w:r>
              <w:rPr>
                <w:rFonts w:ascii="Calibri" w:hAnsi="Calibri"/>
                <w:color w:val="565656"/>
                <w:sz w:val="18"/>
              </w:rPr>
              <w:t>Payments to a co-operative society</w:t>
            </w:r>
          </w:p>
        </w:tc>
      </w:tr>
      <w:tr>
        <w:tc>
          <w:tcPr>
            <w:tcW w:type="dxa" w:w="1008"/>
          </w:tcPr>
          <w:p>
            <w:pPr>
              <w:spacing w:after="40"/>
            </w:pPr>
            <w:r/>
            <w:r>
              <w:rPr>
                <w:rFonts w:ascii="Calibri" w:hAnsi="Calibri"/>
                <w:color w:val="565656"/>
                <w:sz w:val="18"/>
              </w:rPr>
              <w:t>(k)</w:t>
            </w:r>
          </w:p>
        </w:tc>
        <w:tc>
          <w:tcPr>
            <w:tcW w:type="dxa" w:w="8640"/>
          </w:tcPr>
          <w:p>
            <w:pPr>
              <w:spacing w:after="40"/>
            </w:pPr>
            <w:r/>
            <w:r>
              <w:rPr>
                <w:rFonts w:ascii="Calibri" w:hAnsi="Calibri"/>
                <w:color w:val="565656"/>
                <w:sz w:val="18"/>
              </w:rPr>
              <w:t>Trade union fees, with written authorisation</w:t>
            </w:r>
          </w:p>
        </w:tc>
      </w:tr>
      <w:tr>
        <w:tc>
          <w:tcPr>
            <w:tcW w:type="dxa" w:w="1008"/>
          </w:tcPr>
          <w:p>
            <w:pPr>
              <w:spacing w:after="40"/>
            </w:pPr>
            <w:r/>
            <w:r>
              <w:rPr>
                <w:rFonts w:ascii="Calibri" w:hAnsi="Calibri"/>
                <w:color w:val="565656"/>
                <w:sz w:val="18"/>
              </w:rPr>
              <w:t>(l)</w:t>
            </w:r>
          </w:p>
        </w:tc>
        <w:tc>
          <w:tcPr>
            <w:tcW w:type="dxa" w:w="8640"/>
          </w:tcPr>
          <w:p>
            <w:pPr>
              <w:spacing w:after="40"/>
            </w:pPr>
            <w:r/>
            <w:r>
              <w:rPr>
                <w:rFonts w:ascii="Calibri" w:hAnsi="Calibri"/>
                <w:color w:val="565656"/>
                <w:sz w:val="18"/>
              </w:rPr>
              <w:t>Railway losses on counterfeit or base coin or forged notes</w:t>
            </w:r>
          </w:p>
        </w:tc>
      </w:tr>
      <w:tr>
        <w:tc>
          <w:tcPr>
            <w:tcW w:type="dxa" w:w="1008"/>
          </w:tcPr>
          <w:p>
            <w:pPr>
              <w:spacing w:after="40"/>
            </w:pPr>
            <w:r/>
            <w:r>
              <w:rPr>
                <w:rFonts w:ascii="Calibri" w:hAnsi="Calibri"/>
                <w:color w:val="565656"/>
                <w:sz w:val="18"/>
              </w:rPr>
              <w:t>(m)</w:t>
            </w:r>
          </w:p>
        </w:tc>
        <w:tc>
          <w:tcPr>
            <w:tcW w:type="dxa" w:w="8640"/>
          </w:tcPr>
          <w:p>
            <w:pPr>
              <w:spacing w:after="40"/>
            </w:pPr>
            <w:r/>
            <w:r>
              <w:rPr>
                <w:rFonts w:ascii="Calibri" w:hAnsi="Calibri"/>
                <w:color w:val="565656"/>
                <w:sz w:val="18"/>
              </w:rPr>
              <w:t>Railway losses on failure to invoice, bill, collect or account</w:t>
            </w:r>
          </w:p>
        </w:tc>
      </w:tr>
      <w:tr>
        <w:tc>
          <w:tcPr>
            <w:tcW w:type="dxa" w:w="1008"/>
          </w:tcPr>
          <w:p>
            <w:pPr>
              <w:spacing w:after="40"/>
            </w:pPr>
            <w:r/>
            <w:r>
              <w:rPr>
                <w:rFonts w:ascii="Calibri" w:hAnsi="Calibri"/>
                <w:color w:val="565656"/>
                <w:sz w:val="18"/>
              </w:rPr>
              <w:t>(n)</w:t>
            </w:r>
          </w:p>
        </w:tc>
        <w:tc>
          <w:tcPr>
            <w:tcW w:type="dxa" w:w="8640"/>
          </w:tcPr>
          <w:p>
            <w:pPr>
              <w:spacing w:after="40"/>
            </w:pPr>
            <w:r/>
            <w:r>
              <w:rPr>
                <w:rFonts w:ascii="Calibri" w:hAnsi="Calibri"/>
                <w:color w:val="565656"/>
                <w:sz w:val="18"/>
              </w:rPr>
              <w:t>Railway losses on rebates or refunds wrongly granted</w:t>
            </w:r>
          </w:p>
        </w:tc>
      </w:tr>
      <w:tr>
        <w:tc>
          <w:tcPr>
            <w:tcW w:type="dxa" w:w="1008"/>
          </w:tcPr>
          <w:p>
            <w:pPr>
              <w:spacing w:after="40"/>
            </w:pPr>
            <w:r/>
            <w:r>
              <w:rPr>
                <w:rFonts w:ascii="Calibri" w:hAnsi="Calibri"/>
                <w:color w:val="565656"/>
                <w:sz w:val="18"/>
              </w:rPr>
              <w:t>(o)</w:t>
            </w:r>
          </w:p>
        </w:tc>
        <w:tc>
          <w:tcPr>
            <w:tcW w:type="dxa" w:w="8640"/>
          </w:tcPr>
          <w:p>
            <w:pPr>
              <w:spacing w:after="40"/>
            </w:pPr>
            <w:r/>
            <w:r>
              <w:rPr>
                <w:rFonts w:ascii="Calibri" w:hAnsi="Calibri"/>
                <w:color w:val="565656"/>
                <w:sz w:val="18"/>
              </w:rPr>
              <w:t>Contributions to the Prime Minister's National Relief Fund or a notified fund, with written authorisation</w:t>
            </w:r>
          </w:p>
        </w:tc>
      </w:tr>
    </w:tbl>
    <w:p>
      <w:pPr>
        <w:keepNext w:val="0"/>
        <w:spacing w:after="160" w:before="0"/>
      </w:pPr>
      <w:r>
        <w:rPr>
          <w:rFonts w:ascii="Calibri" w:hAnsi="Calibri"/>
          <w:b w:val="0"/>
          <w:i w:val="0"/>
          <w:color w:val="1D1D1D"/>
          <w:sz w:val="21"/>
        </w:rPr>
      </w:r>
    </w:p>
    <w:p>
      <w:pPr>
        <w:pStyle w:val="Heading2"/>
        <w:keepNext/>
        <w:spacing w:after="60" w:before="160"/>
      </w:pPr>
      <w:r>
        <w:rPr>
          <w:rFonts w:ascii="Calibri" w:hAnsi="Calibri"/>
          <w:b/>
          <w:color w:val="1D1D1D"/>
          <w:sz w:val="21"/>
        </w:rPr>
        <w:t>The one place the Code allows notice money</w:t>
      </w:r>
    </w:p>
    <w:p>
      <w:pPr>
        <w:keepNext w:val="0"/>
        <w:spacing w:after="160" w:before="0"/>
      </w:pPr>
      <w:r>
        <w:rPr>
          <w:rFonts w:ascii="Calibri" w:hAnsi="Calibri"/>
          <w:b w:val="0"/>
          <w:i w:val="0"/>
          <w:color w:val="1D1D1D"/>
          <w:sz w:val="20"/>
        </w:rPr>
        <w:t>The proviso to section 20(2) lets an employer deduct an amount not exceeding eight days' wages that is due to the employer in lieu of due notice, and only where ten or more employed persons acting in concert absent themselves without due notice and without reasonable cause. That is a collective walk-out. The Code had notice money in view and allowed it in exactly that case, so an individual resignation falls outside it. Where the case does arise, rule 17 of the Code on Wages (Central) Rules, 2026 requires intimation and seven days for a reply first; those are the central rules, and outside the central sphere your State prescribes the procedure.</w:t>
      </w:r>
    </w:p>
    <w:p>
      <w:pPr>
        <w:pStyle w:val="Heading2"/>
        <w:keepNext/>
        <w:spacing w:after="60" w:before="160"/>
      </w:pPr>
      <w:r>
        <w:rPr>
          <w:rFonts w:ascii="Calibri" w:hAnsi="Calibri"/>
          <w:b/>
          <w:color w:val="1D1D1D"/>
          <w:sz w:val="21"/>
        </w:rPr>
        <w:t>Why the contract cannot add it</w:t>
      </w:r>
    </w:p>
    <w:p>
      <w:pPr>
        <w:keepNext w:val="0"/>
        <w:spacing w:after="160" w:before="0"/>
      </w:pPr>
      <w:r>
        <w:rPr>
          <w:rFonts w:ascii="Calibri" w:hAnsi="Calibri"/>
          <w:b w:val="0"/>
          <w:i w:val="0"/>
          <w:color w:val="1D1D1D"/>
          <w:sz w:val="20"/>
        </w:rPr>
        <w:t>Section 18(1) applies notwithstanding any other law, and section 60 makes any contract or agreement whereby an employee relinquishes the right to any amount due under the Code null and void in so far as it reduces the liability to pay it. A clause authorising the company to adjust any dues against the final settlement does not widen the list.</w:t>
      </w:r>
    </w:p>
    <w:p>
      <w:pPr>
        <w:pStyle w:val="Heading2"/>
        <w:keepNext/>
        <w:spacing w:after="60" w:before="160"/>
      </w:pPr>
      <w:r>
        <w:rPr>
          <w:rFonts w:ascii="Calibri" w:hAnsi="Calibri"/>
          <w:b/>
          <w:color w:val="1D1D1D"/>
          <w:sz w:val="21"/>
        </w:rPr>
        <w:t>Why the fifty per cent cap does not help</w:t>
      </w:r>
    </w:p>
    <w:p>
      <w:pPr>
        <w:keepNext w:val="0"/>
        <w:spacing w:after="160" w:before="0"/>
      </w:pPr>
      <w:r>
        <w:rPr>
          <w:rFonts w:ascii="Calibri" w:hAnsi="Calibri"/>
          <w:b w:val="0"/>
          <w:i w:val="0"/>
          <w:color w:val="1D1D1D"/>
          <w:sz w:val="20"/>
        </w:rPr>
        <w:t>Section 18(3) caps the total deductions which may be made under sub-section (2) in a wage period at fifty per cent of the wages. It limits the deductions the list allows. It does not authorise one the list does not.</w:t>
      </w:r>
    </w:p>
    <w:p>
      <w:pPr>
        <w:keepNext w:val="0"/>
        <w:spacing w:after="160" w:before="0"/>
        <w:ind w:left="216"/>
        <w:shd w:val="clear" w:fill="FFF6E5"/>
      </w:pPr>
      <w:r>
        <w:rPr>
          <w:rFonts w:ascii="Calibri" w:hAnsi="Calibri"/>
          <w:b w:val="0"/>
          <w:i w:val="0"/>
          <w:color w:val="1D1D1D"/>
          <w:sz w:val="20"/>
        </w:rPr>
        <w:t>The open question, stated as open. The Explanation to section 18(1) says that for the purposes of that sub-section, any payment made by an employee to the employer or his agent shall be deemed to be a deduction from his wages. On its words it reaches a buyout cheque handed over by a serving employee as much as a line on the payslip. No court reading of it was opened for this pack, so this pack treats it on its words: take no payment from a serving employee towards a buyout. Whether it reaches a payment by someone whose employment has already ended is not answered here.</w:t>
      </w:r>
    </w:p>
    <w:p>
      <w:pPr>
        <w:spacing w:after="120"/>
        <w:ind w:left="288"/>
      </w:pPr>
      <w:r>
        <w:rPr>
          <w:rFonts w:ascii="Calibri" w:hAnsi="Calibri"/>
          <w:b/>
          <w:color w:val="0069A4"/>
          <w:sz w:val="17"/>
        </w:rPr>
        <w:t xml:space="preserve">Rests on  </w:t>
      </w:r>
      <w:r>
        <w:rPr>
          <w:rFonts w:ascii="Calibri" w:hAnsi="Calibri"/>
          <w:i/>
          <w:color w:val="565656"/>
          <w:sz w:val="17"/>
        </w:rPr>
        <w:t>Code on Wages, 2019, s.18(1) with its Explanation, s.18(2) and (3), s.20(2) proviso, s.60; Code on Wages (Central) Rules, 2026, rule 17</w:t>
      </w:r>
    </w:p>
    <w:p>
      <w:pPr>
        <w:keepNext w:val="0"/>
        <w:spacing w:after="200" w:before="0"/>
      </w:pPr>
      <w:r>
        <w:rPr>
          <w:rFonts w:ascii="Calibri" w:hAnsi="Calibri"/>
          <w:b w:val="0"/>
          <w:i w:val="0"/>
          <w:color w:val="1D1D1D"/>
          <w:sz w:val="21"/>
        </w:rPr>
      </w:r>
    </w:p>
    <w:p>
      <w:pPr>
        <w:pStyle w:val="Heading1"/>
        <w:keepNext/>
        <w:spacing w:after="200" w:before="80"/>
        <w:ind w:left="115"/>
        <w:shd w:val="clear" w:fill="008CDB"/>
      </w:pPr>
      <w:r>
        <w:rPr>
          <w:rFonts w:ascii="Calibri" w:hAnsi="Calibri"/>
          <w:b/>
          <w:color w:val="FFFFFF"/>
          <w:sz w:val="22"/>
        </w:rPr>
        <w:t>3.  WHAT THE MODEL STANDING ORDERS SAY, AND DO NOT</w:t>
      </w:r>
    </w:p>
    <w:p>
      <w:pPr>
        <w:keepNext w:val="0"/>
        <w:spacing w:after="160" w:before="0"/>
      </w:pPr>
      <w:r>
        <w:rPr>
          <w:rFonts w:ascii="Calibri" w:hAnsi="Calibri"/>
          <w:b w:val="0"/>
          <w:i w:val="0"/>
          <w:color w:val="565656"/>
          <w:sz w:val="20"/>
        </w:rPr>
        <w:t>For an establishment of 300 or more workers, the Model Standing Orders, 2026 are deemed adopted until its own certified orders come into operation. Three clauses matter here, and the gazette carries three schedules, so the numbers differ by one in manufacturing.</w:t>
      </w:r>
    </w:p>
    <w:tbl>
      <w:tblPr>
        <w:tblStyle w:val="TableGrid"/>
        <w:tblW w:type="auto" w:w="0"/>
        <w:tblLook w:firstColumn="1" w:firstRow="1" w:lastColumn="0" w:lastRow="0" w:noHBand="0" w:noVBand="1" w:val="04A0"/>
      </w:tblPr>
      <w:tblGrid>
        <w:gridCol w:w="3216"/>
        <w:gridCol w:w="3216"/>
        <w:gridCol w:w="3216"/>
      </w:tblGrid>
      <w:tr>
        <w:tc>
          <w:tcPr>
            <w:tcW w:type="dxa" w:w="6048"/>
          </w:tcPr>
          <w:p>
            <w:pPr>
              <w:spacing w:after="40"/>
              <w:shd w:val="clear" w:fill="E8F4FC"/>
            </w:pPr>
            <w:r/>
            <w:r>
              <w:rPr>
                <w:rFonts w:ascii="Calibri" w:hAnsi="Calibri"/>
                <w:b/>
                <w:color w:val="0069A4"/>
                <w:sz w:val="18"/>
              </w:rPr>
              <w:t>What the clause says</w:t>
            </w:r>
          </w:p>
        </w:tc>
        <w:tc>
          <w:tcPr>
            <w:tcW w:type="dxa" w:w="1800"/>
          </w:tcPr>
          <w:p>
            <w:pPr>
              <w:spacing w:after="40"/>
              <w:shd w:val="clear" w:fill="E8F4FC"/>
            </w:pPr>
            <w:r/>
            <w:r>
              <w:rPr>
                <w:rFonts w:ascii="Calibri" w:hAnsi="Calibri"/>
                <w:b/>
                <w:color w:val="0069A4"/>
                <w:sz w:val="18"/>
              </w:rPr>
              <w:t>Mining and services</w:t>
            </w:r>
          </w:p>
        </w:tc>
        <w:tc>
          <w:tcPr>
            <w:tcW w:type="dxa" w:w="1800"/>
          </w:tcPr>
          <w:p>
            <w:pPr>
              <w:spacing w:after="40"/>
              <w:shd w:val="clear" w:fill="E8F4FC"/>
            </w:pPr>
            <w:r/>
            <w:r>
              <w:rPr>
                <w:rFonts w:ascii="Calibri" w:hAnsi="Calibri"/>
                <w:b/>
                <w:color w:val="0069A4"/>
                <w:sz w:val="18"/>
              </w:rPr>
              <w:t>Manufacturing</w:t>
            </w:r>
          </w:p>
        </w:tc>
      </w:tr>
      <w:tr>
        <w:tc>
          <w:tcPr>
            <w:tcW w:type="dxa" w:w="6048"/>
          </w:tcPr>
          <w:p>
            <w:pPr>
              <w:spacing w:after="40"/>
            </w:pPr>
            <w:r/>
            <w:r>
              <w:rPr>
                <w:rFonts w:ascii="Calibri" w:hAnsi="Calibri"/>
                <w:color w:val="565656"/>
                <w:sz w:val="18"/>
              </w:rPr>
              <w:t>For terminating the employment of a permanent worker, the EMPLOYER gives one month's notice or pays wages in lieu. Temporary, probationer, substitute, fixed term and casual workers whose contract ends get neither.</w:t>
            </w:r>
          </w:p>
        </w:tc>
        <w:tc>
          <w:tcPr>
            <w:tcW w:type="dxa" w:w="1800"/>
          </w:tcPr>
          <w:p>
            <w:pPr>
              <w:spacing w:after="40"/>
            </w:pPr>
            <w:r/>
            <w:r>
              <w:rPr>
                <w:rFonts w:ascii="Calibri" w:hAnsi="Calibri"/>
                <w:color w:val="565656"/>
                <w:sz w:val="18"/>
              </w:rPr>
              <w:t>cl.23(1) and (2)</w:t>
            </w:r>
          </w:p>
        </w:tc>
        <w:tc>
          <w:tcPr>
            <w:tcW w:type="dxa" w:w="1800"/>
          </w:tcPr>
          <w:p>
            <w:pPr>
              <w:spacing w:after="40"/>
            </w:pPr>
            <w:r/>
            <w:r>
              <w:rPr>
                <w:rFonts w:ascii="Calibri" w:hAnsi="Calibri"/>
                <w:color w:val="565656"/>
                <w:sz w:val="18"/>
              </w:rPr>
              <w:t>cl.22(1) and (2)</w:t>
            </w:r>
          </w:p>
        </w:tc>
      </w:tr>
      <w:tr>
        <w:tc>
          <w:tcPr>
            <w:tcW w:type="dxa" w:w="6048"/>
          </w:tcPr>
          <w:p>
            <w:pPr>
              <w:spacing w:after="40"/>
            </w:pPr>
            <w:r/>
            <w:r>
              <w:rPr>
                <w:rFonts w:ascii="Calibri" w:hAnsi="Calibri"/>
                <w:color w:val="565656"/>
                <w:sz w:val="18"/>
              </w:rPr>
              <w:t>No deductions from the wages of the worker except those the Code on Wages, 2019 authorises.</w:t>
            </w:r>
          </w:p>
        </w:tc>
        <w:tc>
          <w:tcPr>
            <w:tcW w:type="dxa" w:w="1800"/>
          </w:tcPr>
          <w:p>
            <w:pPr>
              <w:spacing w:after="40"/>
            </w:pPr>
            <w:r/>
            <w:r>
              <w:rPr>
                <w:rFonts w:ascii="Calibri" w:hAnsi="Calibri"/>
                <w:color w:val="565656"/>
                <w:sz w:val="18"/>
              </w:rPr>
              <w:t>cl.13(5)</w:t>
            </w:r>
          </w:p>
        </w:tc>
        <w:tc>
          <w:tcPr>
            <w:tcW w:type="dxa" w:w="1800"/>
          </w:tcPr>
          <w:p>
            <w:pPr>
              <w:spacing w:after="40"/>
            </w:pPr>
            <w:r/>
            <w:r>
              <w:rPr>
                <w:rFonts w:ascii="Calibri" w:hAnsi="Calibri"/>
                <w:color w:val="565656"/>
                <w:sz w:val="18"/>
              </w:rPr>
              <w:t>cl.12(5)</w:t>
            </w:r>
          </w:p>
        </w:tc>
      </w:tr>
      <w:tr>
        <w:tc>
          <w:tcPr>
            <w:tcW w:type="dxa" w:w="6048"/>
          </w:tcPr>
          <w:p>
            <w:pPr>
              <w:spacing w:after="40"/>
            </w:pPr>
            <w:r/>
            <w:r>
              <w:rPr>
                <w:rFonts w:ascii="Calibri" w:hAnsi="Calibri"/>
                <w:color w:val="565656"/>
                <w:sz w:val="18"/>
              </w:rPr>
              <w:t>Every worker is entitled to a service certificate within ten days of discharge, termination, retirement or resignation.</w:t>
            </w:r>
          </w:p>
        </w:tc>
        <w:tc>
          <w:tcPr>
            <w:tcW w:type="dxa" w:w="1800"/>
          </w:tcPr>
          <w:p>
            <w:pPr>
              <w:spacing w:after="40"/>
            </w:pPr>
            <w:r/>
            <w:r>
              <w:rPr>
                <w:rFonts w:ascii="Calibri" w:hAnsi="Calibri"/>
                <w:color w:val="565656"/>
                <w:sz w:val="18"/>
              </w:rPr>
              <w:t>cl.14(1)(ii)</w:t>
            </w:r>
          </w:p>
        </w:tc>
        <w:tc>
          <w:tcPr>
            <w:tcW w:type="dxa" w:w="1800"/>
          </w:tcPr>
          <w:p>
            <w:pPr>
              <w:spacing w:after="40"/>
            </w:pPr>
            <w:r/>
            <w:r>
              <w:rPr>
                <w:rFonts w:ascii="Calibri" w:hAnsi="Calibri"/>
                <w:color w:val="565656"/>
                <w:sz w:val="18"/>
              </w:rPr>
              <w:t>cl.13(1)(ii)</w:t>
            </w:r>
          </w:p>
        </w:tc>
      </w:tr>
    </w:tbl>
    <w:p>
      <w:pPr>
        <w:keepNext w:val="0"/>
        <w:spacing w:after="160" w:before="0"/>
      </w:pPr>
      <w:r>
        <w:rPr>
          <w:rFonts w:ascii="Calibri" w:hAnsi="Calibri"/>
          <w:b w:val="0"/>
          <w:i w:val="0"/>
          <w:color w:val="1D1D1D"/>
          <w:sz w:val="21"/>
        </w:rPr>
      </w:r>
    </w:p>
    <w:p>
      <w:pPr>
        <w:keepNext w:val="0"/>
        <w:spacing w:after="160" w:before="0"/>
        <w:ind w:left="216"/>
        <w:shd w:val="clear" w:fill="FFF8E8"/>
      </w:pPr>
      <w:r>
        <w:rPr>
          <w:rFonts w:ascii="Calibri" w:hAnsi="Calibri"/>
          <w:b w:val="0"/>
          <w:i w:val="0"/>
          <w:color w:val="1D1D1D"/>
          <w:sz w:val="20"/>
        </w:rPr>
        <w:t>What the orders never say: how much notice a worker must give before resigning. The termination clause binds the employer only. So even in an establishment the orders reach, the employee's notice period comes from the contract, and so does any claim for a shortfall.</w:t>
      </w:r>
    </w:p>
    <w:p>
      <w:pPr>
        <w:spacing w:after="120"/>
        <w:ind w:left="288"/>
      </w:pPr>
      <w:r>
        <w:rPr>
          <w:rFonts w:ascii="Calibri" w:hAnsi="Calibri"/>
          <w:b/>
          <w:color w:val="0069A4"/>
          <w:sz w:val="17"/>
        </w:rPr>
        <w:t xml:space="preserve">Rests on  </w:t>
      </w:r>
      <w:r>
        <w:rPr>
          <w:rFonts w:ascii="Calibri" w:hAnsi="Calibri"/>
          <w:i/>
          <w:color w:val="565656"/>
          <w:sz w:val="17"/>
        </w:rPr>
        <w:t>Model Standing Orders, 2026, S.O. 2312(E); IR Code, 2020, s.28(1), s.29(2) and s.2(zr)</w:t>
      </w:r>
    </w:p>
    <w:p>
      <w:r>
        <w:br w:type="page"/>
      </w:r>
    </w:p>
    <w:p>
      <w:pPr>
        <w:pStyle w:val="Heading1"/>
        <w:keepNext/>
        <w:spacing w:after="200" w:before="80"/>
        <w:ind w:left="115"/>
        <w:shd w:val="clear" w:fill="008CDB"/>
      </w:pPr>
      <w:r>
        <w:rPr>
          <w:rFonts w:ascii="Calibri" w:hAnsi="Calibri"/>
          <w:b/>
          <w:color w:val="FFFFFF"/>
          <w:sz w:val="22"/>
        </w:rPr>
        <w:t>4.  WHERE GRATUITY STANDS</w:t>
      </w:r>
    </w:p>
    <w:p>
      <w:pPr>
        <w:keepNext w:val="0"/>
        <w:spacing w:after="120" w:before="0"/>
      </w:pPr>
      <w:r>
        <w:rPr>
          <w:rFonts w:ascii="Calibri" w:hAnsi="Calibri"/>
          <w:b w:val="0"/>
          <w:i w:val="0"/>
          <w:color w:val="1D1D1D"/>
          <w:sz w:val="20"/>
        </w:rPr>
        <w:t>Section 53(6) of the Code on Social Security, 2020 opens "notwithstanding anything contained in sub-section (1)" and allows gratuity to be forfeited in three cases:</w:t>
      </w:r>
    </w:p>
    <w:p>
      <w:pPr>
        <w:keepNext w:val="0"/>
        <w:spacing w:after="60" w:before="0"/>
        <w:ind w:left="360"/>
      </w:pPr>
      <w:r>
        <w:rPr>
          <w:rFonts w:ascii="Calibri" w:hAnsi="Calibri"/>
          <w:b w:val="0"/>
          <w:i w:val="0"/>
          <w:color w:val="1D1D1D"/>
          <w:sz w:val="20"/>
        </w:rPr>
        <w:t>•  where the services were terminated for an act, wilful omission or negligence causing damage or loss to, or destruction of, the employer's property, and then only to the extent of the damage or loss</w:t>
      </w:r>
    </w:p>
    <w:p>
      <w:pPr>
        <w:keepNext w:val="0"/>
        <w:spacing w:after="60" w:before="0"/>
        <w:ind w:left="360"/>
      </w:pPr>
      <w:r>
        <w:rPr>
          <w:rFonts w:ascii="Calibri" w:hAnsi="Calibri"/>
          <w:b w:val="0"/>
          <w:i w:val="0"/>
          <w:color w:val="1D1D1D"/>
          <w:sz w:val="20"/>
        </w:rPr>
        <w:t>•  where the services were terminated for riotous or disorderly conduct or any other act of violence</w:t>
      </w:r>
    </w:p>
    <w:p>
      <w:pPr>
        <w:keepNext w:val="0"/>
        <w:spacing w:after="60" w:before="0"/>
        <w:ind w:left="360"/>
      </w:pPr>
      <w:r>
        <w:rPr>
          <w:rFonts w:ascii="Calibri" w:hAnsi="Calibri"/>
          <w:b w:val="0"/>
          <w:i w:val="0"/>
          <w:color w:val="1D1D1D"/>
          <w:sz w:val="20"/>
        </w:rPr>
        <w:t>•  where the services were terminated for an act which constitutes an offence involving moral turpitude, committed in the course of employment</w:t>
      </w:r>
    </w:p>
    <w:p>
      <w:pPr>
        <w:keepNext w:val="0"/>
        <w:spacing w:after="80" w:before="0"/>
      </w:pPr>
      <w:r>
        <w:rPr>
          <w:rFonts w:ascii="Calibri" w:hAnsi="Calibri"/>
          <w:b w:val="0"/>
          <w:i w:val="0"/>
          <w:color w:val="1D1D1D"/>
          <w:sz w:val="21"/>
        </w:rPr>
      </w:r>
    </w:p>
    <w:p>
      <w:pPr>
        <w:keepNext w:val="0"/>
        <w:spacing w:after="160" w:before="0"/>
        <w:ind w:left="216"/>
        <w:shd w:val="clear" w:fill="FFF8E8"/>
      </w:pPr>
      <w:r>
        <w:rPr>
          <w:rFonts w:ascii="Calibri" w:hAnsi="Calibri"/>
          <w:b w:val="0"/>
          <w:i w:val="0"/>
          <w:color w:val="1D1D1D"/>
          <w:sz w:val="20"/>
        </w:rPr>
        <w:t>A resignation is not a termination for any of those, and an unserved notice is not property damage. Gratuity, where it is due, is paid without set-off against the notice claim.</w:t>
      </w:r>
    </w:p>
    <w:p>
      <w:pPr>
        <w:spacing w:after="120"/>
        <w:ind w:left="288"/>
      </w:pPr>
      <w:r>
        <w:rPr>
          <w:rFonts w:ascii="Calibri" w:hAnsi="Calibri"/>
          <w:b/>
          <w:color w:val="0069A4"/>
          <w:sz w:val="17"/>
        </w:rPr>
        <w:t xml:space="preserve">Rests on  </w:t>
      </w:r>
      <w:r>
        <w:rPr>
          <w:rFonts w:ascii="Calibri" w:hAnsi="Calibri"/>
          <w:i/>
          <w:color w:val="565656"/>
          <w:sz w:val="17"/>
        </w:rPr>
        <w:t>Code on Social Security, 2020, s.53(6)(a) and (b)</w:t>
      </w:r>
    </w:p>
    <w:p>
      <w:r>
        <w:br w:type="page"/>
      </w:r>
    </w:p>
    <w:p>
      <w:pPr>
        <w:pStyle w:val="Heading1"/>
        <w:keepNext/>
        <w:spacing w:after="200" w:before="80"/>
        <w:ind w:left="115"/>
        <w:shd w:val="clear" w:fill="008CDB"/>
      </w:pPr>
      <w:r>
        <w:rPr>
          <w:rFonts w:ascii="Calibri" w:hAnsi="Calibri"/>
          <w:b/>
          <w:color w:val="FFFFFF"/>
          <w:sz w:val="22"/>
        </w:rPr>
        <w:t>5.  THREE ROUTES THAT HOLD UP</w:t>
      </w:r>
    </w:p>
    <w:p>
      <w:pPr>
        <w:pStyle w:val="Heading2"/>
        <w:keepNext/>
        <w:spacing w:after="60" w:before="160"/>
      </w:pPr>
      <w:r>
        <w:rPr>
          <w:rFonts w:ascii="Calibri" w:hAnsi="Calibri"/>
          <w:b/>
          <w:color w:val="1D1D1D"/>
          <w:sz w:val="21"/>
        </w:rPr>
        <w:t>1.  Waive it</w:t>
      </w:r>
    </w:p>
    <w:p>
      <w:pPr>
        <w:keepNext w:val="0"/>
        <w:spacing w:after="120" w:before="0"/>
      </w:pPr>
      <w:r>
        <w:rPr>
          <w:rFonts w:ascii="Calibri" w:hAnsi="Calibri"/>
          <w:b w:val="0"/>
          <w:i w:val="0"/>
          <w:color w:val="565656"/>
          <w:sz w:val="20"/>
        </w:rPr>
        <w:t>Release the employee early and give up the shortfall, in whole or in part, in writing, before the last working day. Format 03. It is often the cheapest answer once the cost of pursuing a claim is counted.</w:t>
      </w:r>
    </w:p>
    <w:p>
      <w:pPr>
        <w:pStyle w:val="Heading2"/>
        <w:keepNext/>
        <w:spacing w:after="60" w:before="160"/>
      </w:pPr>
      <w:r>
        <w:rPr>
          <w:rFonts w:ascii="Calibri" w:hAnsi="Calibri"/>
          <w:b/>
          <w:color w:val="1D1D1D"/>
          <w:sz w:val="21"/>
        </w:rPr>
        <w:t>2.  Claim it, after paying the settlement</w:t>
      </w:r>
    </w:p>
    <w:p>
      <w:pPr>
        <w:keepNext w:val="0"/>
        <w:spacing w:after="120" w:before="0"/>
      </w:pPr>
      <w:r>
        <w:rPr>
          <w:rFonts w:ascii="Calibri" w:hAnsi="Calibri"/>
          <w:b w:val="0"/>
          <w:i w:val="0"/>
          <w:color w:val="565656"/>
          <w:sz w:val="20"/>
        </w:rPr>
        <w:t>Section 73 of the Indian Contract Act, 1872 gives compensation for loss which naturally arose in the usual course of things from the breach, and not for remote and indirect loss. Section 74 says that where the contract names a sum, the party complaining is entitled, whether or not actual damage or loss is proved, to reasonable compensation not exceeding the amount so named. So the contract figure is a ceiling, not a debt that falls due. Formats 05 and 06.</w:t>
      </w:r>
    </w:p>
    <w:p>
      <w:pPr>
        <w:pStyle w:val="Heading2"/>
        <w:keepNext/>
        <w:spacing w:after="60" w:before="160"/>
      </w:pPr>
      <w:r>
        <w:rPr>
          <w:rFonts w:ascii="Calibri" w:hAnsi="Calibri"/>
          <w:b/>
          <w:color w:val="1D1D1D"/>
          <w:sz w:val="21"/>
        </w:rPr>
        <w:t>3.  Count absence on notice correctly</w:t>
      </w:r>
    </w:p>
    <w:p>
      <w:pPr>
        <w:keepNext w:val="0"/>
        <w:spacing w:after="160" w:before="0"/>
      </w:pPr>
      <w:r>
        <w:rPr>
          <w:rFonts w:ascii="Calibri" w:hAnsi="Calibri"/>
          <w:b w:val="0"/>
          <w:i w:val="0"/>
          <w:color w:val="565656"/>
          <w:sz w:val="20"/>
        </w:rPr>
        <w:t>Days absent without leave while the employee is still employed on notice are absence from duty, a lawful deduction under section 18(2)(b). Section 20(2) caps it: the deduction shall not bear a larger proportion to the wages for the period than the days absent bear to the days the employee was required to work. It is a ceiling, not a formula. Days after the last working day are not absence at all.</w:t>
      </w:r>
    </w:p>
    <w:p>
      <w:pPr>
        <w:keepNext w:val="0"/>
        <w:spacing w:after="160" w:before="0"/>
        <w:ind w:left="216"/>
        <w:shd w:val="clear" w:fill="FFF8E8"/>
      </w:pPr>
      <w:r>
        <w:rPr>
          <w:rFonts w:ascii="Calibri" w:hAnsi="Calibri"/>
          <w:b w:val="0"/>
          <w:i w:val="0"/>
          <w:color w:val="1D1D1D"/>
          <w:sz w:val="20"/>
        </w:rPr>
        <w:t>A buyout, as the word is usually used, means the employee pays to leave early. Read with the Explanation to section 18(1), that payment is the one thing this pack does not recommend taking while the person is still employed. Route 1 or route 2 still lets them go early without it: waive the shortfall, or release them and claim it once the settlement is paid.</w:t>
      </w:r>
    </w:p>
    <w:p>
      <w:pPr>
        <w:spacing w:after="120"/>
        <w:ind w:left="288"/>
      </w:pPr>
      <w:r>
        <w:rPr>
          <w:rFonts w:ascii="Calibri" w:hAnsi="Calibri"/>
          <w:b/>
          <w:color w:val="0069A4"/>
          <w:sz w:val="17"/>
        </w:rPr>
        <w:t xml:space="preserve">Rests on  </w:t>
      </w:r>
      <w:r>
        <w:rPr>
          <w:rFonts w:ascii="Calibri" w:hAnsi="Calibri"/>
          <w:i/>
          <w:color w:val="565656"/>
          <w:sz w:val="17"/>
        </w:rPr>
        <w:t>Indian Contract Act, 1872, s.73 and s.74; Code on Wages, 2019, s.18(2)(b) and s.20(2)</w:t>
      </w:r>
    </w:p>
    <w:p>
      <w:r>
        <w:br w:type="page"/>
      </w:r>
    </w:p>
    <w:p>
      <w:pPr>
        <w:pStyle w:val="Heading1"/>
        <w:keepNext/>
        <w:spacing w:after="200" w:before="80"/>
        <w:ind w:left="115"/>
        <w:shd w:val="clear" w:fill="008CDB"/>
      </w:pPr>
      <w:r>
        <w:rPr>
          <w:rFonts w:ascii="Calibri" w:hAnsi="Calibri"/>
          <w:b/>
          <w:color w:val="FFFFFF"/>
          <w:sz w:val="22"/>
        </w:rPr>
        <w:t>6.  SIX FORMATS, AND WHEN TO USE EACH</w:t>
      </w:r>
    </w:p>
    <w:tbl>
      <w:tblPr>
        <w:tblStyle w:val="TableGrid"/>
        <w:tblW w:type="auto" w:w="0"/>
        <w:tblLook w:firstColumn="1" w:firstRow="1" w:lastColumn="0" w:lastRow="0" w:noHBand="0" w:noVBand="1" w:val="04A0"/>
      </w:tblPr>
      <w:tblGrid>
        <w:gridCol w:w="3216"/>
        <w:gridCol w:w="3216"/>
        <w:gridCol w:w="3216"/>
      </w:tblGrid>
      <w:tr>
        <w:tc>
          <w:tcPr>
            <w:tcW w:type="dxa" w:w="3024"/>
          </w:tcPr>
          <w:p>
            <w:pPr>
              <w:spacing w:after="40"/>
              <w:shd w:val="clear" w:fill="E8F4FC"/>
            </w:pPr>
            <w:r/>
            <w:r>
              <w:rPr>
                <w:rFonts w:ascii="Calibri" w:hAnsi="Calibri"/>
                <w:b/>
                <w:color w:val="0069A4"/>
                <w:sz w:val="18"/>
              </w:rPr>
              <w:t>Format</w:t>
            </w:r>
          </w:p>
        </w:tc>
        <w:tc>
          <w:tcPr>
            <w:tcW w:type="dxa" w:w="2880"/>
          </w:tcPr>
          <w:p>
            <w:pPr>
              <w:spacing w:after="40"/>
              <w:shd w:val="clear" w:fill="E8F4FC"/>
            </w:pPr>
            <w:r/>
            <w:r>
              <w:rPr>
                <w:rFonts w:ascii="Calibri" w:hAnsi="Calibri"/>
                <w:b/>
                <w:color w:val="0069A4"/>
                <w:sz w:val="18"/>
              </w:rPr>
              <w:t>Use it when</w:t>
            </w:r>
          </w:p>
        </w:tc>
        <w:tc>
          <w:tcPr>
            <w:tcW w:type="dxa" w:w="3888"/>
          </w:tcPr>
          <w:p>
            <w:pPr>
              <w:spacing w:after="40"/>
              <w:shd w:val="clear" w:fill="E8F4FC"/>
            </w:pPr>
            <w:r/>
            <w:r>
              <w:rPr>
                <w:rFonts w:ascii="Calibri" w:hAnsi="Calibri"/>
                <w:b/>
                <w:color w:val="0069A4"/>
                <w:sz w:val="18"/>
              </w:rPr>
              <w:t>The thing to get right</w:t>
            </w:r>
          </w:p>
        </w:tc>
      </w:tr>
      <w:tr>
        <w:tc>
          <w:tcPr>
            <w:tcW w:type="dxa" w:w="3024"/>
          </w:tcPr>
          <w:p>
            <w:pPr>
              <w:spacing w:after="40"/>
            </w:pPr>
            <w:r/>
            <w:r>
              <w:rPr>
                <w:rFonts w:ascii="Calibri" w:hAnsi="Calibri"/>
                <w:color w:val="565656"/>
                <w:sz w:val="18"/>
              </w:rPr>
              <w:t>01  The notice clause</w:t>
            </w:r>
          </w:p>
        </w:tc>
        <w:tc>
          <w:tcPr>
            <w:tcW w:type="dxa" w:w="2880"/>
          </w:tcPr>
          <w:p>
            <w:pPr>
              <w:spacing w:after="40"/>
            </w:pPr>
            <w:r/>
            <w:r>
              <w:rPr>
                <w:rFonts w:ascii="Calibri" w:hAnsi="Calibri"/>
                <w:color w:val="565656"/>
                <w:sz w:val="18"/>
              </w:rPr>
              <w:t>In the appointment letter, before anyone resigns</w:t>
            </w:r>
          </w:p>
        </w:tc>
        <w:tc>
          <w:tcPr>
            <w:tcW w:type="dxa" w:w="3888"/>
          </w:tcPr>
          <w:p>
            <w:pPr>
              <w:spacing w:after="40"/>
            </w:pPr>
            <w:r/>
            <w:r>
              <w:rPr>
                <w:rFonts w:ascii="Calibri" w:hAnsi="Calibri"/>
                <w:color w:val="565656"/>
                <w:sz w:val="18"/>
              </w:rPr>
              <w:t>Name a figure for a shortfall, and say in terms that it is compensation and not a deduction.</w:t>
            </w:r>
          </w:p>
        </w:tc>
      </w:tr>
      <w:tr>
        <w:tc>
          <w:tcPr>
            <w:tcW w:type="dxa" w:w="3024"/>
          </w:tcPr>
          <w:p>
            <w:pPr>
              <w:spacing w:after="40"/>
            </w:pPr>
            <w:r/>
            <w:r>
              <w:rPr>
                <w:rFonts w:ascii="Calibri" w:hAnsi="Calibri"/>
                <w:color w:val="565656"/>
                <w:sz w:val="18"/>
              </w:rPr>
              <w:t>02  Acknowledgement of resignation</w:t>
            </w:r>
          </w:p>
        </w:tc>
        <w:tc>
          <w:tcPr>
            <w:tcW w:type="dxa" w:w="2880"/>
          </w:tcPr>
          <w:p>
            <w:pPr>
              <w:spacing w:after="40"/>
            </w:pPr>
            <w:r/>
            <w:r>
              <w:rPr>
                <w:rFonts w:ascii="Calibri" w:hAnsi="Calibri"/>
                <w:color w:val="565656"/>
                <w:sz w:val="18"/>
              </w:rPr>
              <w:t>The day a resignation arrives</w:t>
            </w:r>
          </w:p>
        </w:tc>
        <w:tc>
          <w:tcPr>
            <w:tcW w:type="dxa" w:w="3888"/>
          </w:tcPr>
          <w:p>
            <w:pPr>
              <w:spacing w:after="40"/>
            </w:pPr>
            <w:r/>
            <w:r>
              <w:rPr>
                <w:rFonts w:ascii="Calibri" w:hAnsi="Calibri"/>
                <w:color w:val="565656"/>
                <w:sz w:val="18"/>
              </w:rPr>
              <w:t>Fix the last working day in writing on the day it is agreed.</w:t>
            </w:r>
          </w:p>
        </w:tc>
      </w:tr>
      <w:tr>
        <w:tc>
          <w:tcPr>
            <w:tcW w:type="dxa" w:w="3024"/>
          </w:tcPr>
          <w:p>
            <w:pPr>
              <w:spacing w:after="40"/>
            </w:pPr>
            <w:r/>
            <w:r>
              <w:rPr>
                <w:rFonts w:ascii="Calibri" w:hAnsi="Calibri"/>
                <w:color w:val="565656"/>
                <w:sz w:val="18"/>
              </w:rPr>
              <w:t>03  Early release or buyout on request</w:t>
            </w:r>
          </w:p>
        </w:tc>
        <w:tc>
          <w:tcPr>
            <w:tcW w:type="dxa" w:w="2880"/>
          </w:tcPr>
          <w:p>
            <w:pPr>
              <w:spacing w:after="40"/>
            </w:pPr>
            <w:r/>
            <w:r>
              <w:rPr>
                <w:rFonts w:ascii="Calibri" w:hAnsi="Calibri"/>
                <w:color w:val="565656"/>
                <w:sz w:val="18"/>
              </w:rPr>
              <w:t>The employee asks to go before the notice ends</w:t>
            </w:r>
          </w:p>
        </w:tc>
        <w:tc>
          <w:tcPr>
            <w:tcW w:type="dxa" w:w="3888"/>
          </w:tcPr>
          <w:p>
            <w:pPr>
              <w:spacing w:after="40"/>
            </w:pPr>
            <w:r/>
            <w:r>
              <w:rPr>
                <w:rFonts w:ascii="Calibri" w:hAnsi="Calibri"/>
                <w:color w:val="565656"/>
                <w:sz w:val="18"/>
              </w:rPr>
              <w:t>Decide the shortfall in the release letter, not afterwards.</w:t>
            </w:r>
          </w:p>
        </w:tc>
      </w:tr>
      <w:tr>
        <w:tc>
          <w:tcPr>
            <w:tcW w:type="dxa" w:w="3024"/>
          </w:tcPr>
          <w:p>
            <w:pPr>
              <w:spacing w:after="40"/>
            </w:pPr>
            <w:r/>
            <w:r>
              <w:rPr>
                <w:rFonts w:ascii="Calibri" w:hAnsi="Calibri"/>
                <w:color w:val="565656"/>
                <w:sz w:val="18"/>
              </w:rPr>
              <w:t>04  Full and final settlement statement</w:t>
            </w:r>
          </w:p>
        </w:tc>
        <w:tc>
          <w:tcPr>
            <w:tcW w:type="dxa" w:w="2880"/>
          </w:tcPr>
          <w:p>
            <w:pPr>
              <w:spacing w:after="40"/>
            </w:pPr>
            <w:r/>
            <w:r>
              <w:rPr>
                <w:rFonts w:ascii="Calibri" w:hAnsi="Calibri"/>
                <w:color w:val="565656"/>
                <w:sz w:val="18"/>
              </w:rPr>
              <w:t>Within two working days of the last working day</w:t>
            </w:r>
          </w:p>
        </w:tc>
        <w:tc>
          <w:tcPr>
            <w:tcW w:type="dxa" w:w="3888"/>
          </w:tcPr>
          <w:p>
            <w:pPr>
              <w:spacing w:after="40"/>
            </w:pPr>
            <w:r/>
            <w:r>
              <w:rPr>
                <w:rFonts w:ascii="Calibri" w:hAnsi="Calibri"/>
                <w:color w:val="565656"/>
                <w:sz w:val="18"/>
              </w:rPr>
              <w:t>Every deduction above the line names its clause of section 18(2).</w:t>
            </w:r>
          </w:p>
        </w:tc>
      </w:tr>
      <w:tr>
        <w:tc>
          <w:tcPr>
            <w:tcW w:type="dxa" w:w="3024"/>
          </w:tcPr>
          <w:p>
            <w:pPr>
              <w:spacing w:after="40"/>
            </w:pPr>
            <w:r/>
            <w:r>
              <w:rPr>
                <w:rFonts w:ascii="Calibri" w:hAnsi="Calibri"/>
                <w:color w:val="565656"/>
                <w:sz w:val="18"/>
              </w:rPr>
              <w:t>05  Notice shortfall worksheet</w:t>
            </w:r>
          </w:p>
        </w:tc>
        <w:tc>
          <w:tcPr>
            <w:tcW w:type="dxa" w:w="2880"/>
          </w:tcPr>
          <w:p>
            <w:pPr>
              <w:spacing w:after="40"/>
            </w:pPr>
            <w:r/>
            <w:r>
              <w:rPr>
                <w:rFonts w:ascii="Calibri" w:hAnsi="Calibri"/>
                <w:color w:val="565656"/>
                <w:sz w:val="18"/>
              </w:rPr>
              <w:t>Before the settlement and before the demand</w:t>
            </w:r>
          </w:p>
        </w:tc>
        <w:tc>
          <w:tcPr>
            <w:tcW w:type="dxa" w:w="3888"/>
          </w:tcPr>
          <w:p>
            <w:pPr>
              <w:spacing w:after="40"/>
            </w:pPr>
            <w:r/>
            <w:r>
              <w:rPr>
                <w:rFonts w:ascii="Calibri" w:hAnsi="Calibri"/>
                <w:color w:val="565656"/>
                <w:sz w:val="18"/>
              </w:rPr>
              <w:t>Two calculations that must never be mixed: the ceiling of the contract claim, and the absence deduction for days missed while still employed on notice.</w:t>
            </w:r>
          </w:p>
        </w:tc>
      </w:tr>
      <w:tr>
        <w:tc>
          <w:tcPr>
            <w:tcW w:type="dxa" w:w="3024"/>
          </w:tcPr>
          <w:p>
            <w:pPr>
              <w:spacing w:after="40"/>
            </w:pPr>
            <w:r/>
            <w:r>
              <w:rPr>
                <w:rFonts w:ascii="Calibri" w:hAnsi="Calibri"/>
                <w:color w:val="565656"/>
                <w:sz w:val="18"/>
              </w:rPr>
              <w:t>06  Demand for compensation for unserved notice</w:t>
            </w:r>
          </w:p>
        </w:tc>
        <w:tc>
          <w:tcPr>
            <w:tcW w:type="dxa" w:w="2880"/>
          </w:tcPr>
          <w:p>
            <w:pPr>
              <w:spacing w:after="40"/>
            </w:pPr>
            <w:r/>
            <w:r>
              <w:rPr>
                <w:rFonts w:ascii="Calibri" w:hAnsi="Calibri"/>
                <w:color w:val="565656"/>
                <w:sz w:val="18"/>
              </w:rPr>
              <w:t>After the settlement has been paid</w:t>
            </w:r>
          </w:p>
        </w:tc>
        <w:tc>
          <w:tcPr>
            <w:tcW w:type="dxa" w:w="3888"/>
          </w:tcPr>
          <w:p>
            <w:pPr>
              <w:spacing w:after="40"/>
            </w:pPr>
            <w:r/>
            <w:r>
              <w:rPr>
                <w:rFonts w:ascii="Calibri" w:hAnsi="Calibri"/>
                <w:color w:val="565656"/>
                <w:sz w:val="18"/>
              </w:rPr>
              <w:t>Claim reasonable compensation, up to the contract figure and not automatically that figure.</w:t>
            </w:r>
          </w:p>
        </w:tc>
      </w:tr>
    </w:tbl>
    <w:p>
      <w:r>
        <w:br w:type="page"/>
      </w:r>
    </w:p>
    <w:p>
      <w:pPr>
        <w:pStyle w:val="Heading1"/>
        <w:keepNext/>
        <w:spacing w:after="200" w:before="80"/>
        <w:ind w:left="115"/>
        <w:shd w:val="clear" w:fill="008CDB"/>
      </w:pPr>
      <w:r>
        <w:rPr>
          <w:rFonts w:ascii="Calibri" w:hAnsi="Calibri"/>
          <w:b/>
          <w:color w:val="FFFFFF"/>
          <w:sz w:val="22"/>
        </w:rPr>
        <w:t>7.  THE FORMATS</w:t>
      </w:r>
    </w:p>
    <w:p>
      <w:pPr>
        <w:keepNext w:val="0"/>
        <w:spacing w:after="200" w:before="0"/>
      </w:pPr>
      <w:r>
        <w:rPr>
          <w:rFonts w:ascii="Calibri" w:hAnsi="Calibri"/>
          <w:b w:val="0"/>
          <w:i w:val="0"/>
          <w:color w:val="565656"/>
          <w:sz w:val="20"/>
        </w:rPr>
        <w:t>Each on its own page. Square brackets are yours to fill.</w:t>
      </w:r>
    </w:p>
    <w:p>
      <w:pPr>
        <w:pStyle w:val="Heading1"/>
        <w:keepNext/>
        <w:spacing w:after="200" w:before="80"/>
        <w:ind w:left="115"/>
        <w:shd w:val="clear" w:fill="0069A4"/>
      </w:pPr>
      <w:r>
        <w:rPr>
          <w:rFonts w:ascii="Calibri" w:hAnsi="Calibri"/>
          <w:b/>
          <w:color w:val="FFFFFF"/>
          <w:sz w:val="20"/>
        </w:rPr>
        <w:t>FORMAT 01  ·  THE NOTICE CLAUSE</w:t>
      </w:r>
    </w:p>
    <w:p>
      <w:pPr>
        <w:keepNext w:val="0"/>
        <w:spacing w:after="160" w:before="0"/>
        <w:ind w:left="144"/>
        <w:shd w:val="clear" w:fill="F4FAFE"/>
      </w:pPr>
      <w:r>
        <w:rPr>
          <w:rFonts w:ascii="Calibri" w:hAnsi="Calibri"/>
          <w:b w:val="0"/>
          <w:i/>
          <w:color w:val="565656"/>
          <w:sz w:val="18"/>
        </w:rPr>
        <w:t>Name a figure for a shortfall, and say in terms that it is compensation and not a deduction. Section 60 voids a clause that reduces what the Code makes payable, so a right to deduct would be void anyway, and writing one in only hands the employee an argument.</w:t>
      </w:r>
    </w:p>
    <w:p>
      <w:pPr>
        <w:keepNext w:val="0"/>
        <w:spacing w:after="200" w:before="0"/>
      </w:pPr>
      <w:r>
        <w:rPr>
          <w:rFonts w:ascii="Calibri" w:hAnsi="Calibri"/>
          <w:b w:val="0"/>
          <w:i w:val="0"/>
          <w:color w:val="565656"/>
          <w:sz w:val="18"/>
        </w:rPr>
        <w:t>[FOR THE LETTER OF APPOINTMENT OR EMPLOYMENT AGREEMENT]</w:t>
      </w:r>
    </w:p>
    <w:p>
      <w:pPr>
        <w:keepNext w:val="0"/>
        <w:spacing w:after="40" w:before="0"/>
      </w:pPr>
      <w:r>
        <w:rPr>
          <w:rFonts w:ascii="Calibri" w:hAnsi="Calibri"/>
          <w:b/>
          <w:i w:val="0"/>
          <w:color w:val="1D1D1D"/>
          <w:sz w:val="20"/>
        </w:rPr>
        <w:t>[NUMBER].1  Notice by either party</w:t>
      </w:r>
    </w:p>
    <w:p>
      <w:pPr>
        <w:keepNext w:val="0"/>
        <w:spacing w:after="160" w:before="0"/>
        <w:ind w:left="288"/>
      </w:pPr>
      <w:r>
        <w:rPr>
          <w:rFonts w:ascii="Calibri" w:hAnsi="Calibri"/>
          <w:b w:val="0"/>
          <w:i w:val="0"/>
          <w:color w:val="1D1D1D"/>
          <w:sz w:val="20"/>
        </w:rPr>
        <w:t>Either party may end this employment by giving the other [NUMBER] days' notice in writing. During probation the period is [NUMBER] days. The Company may instead pay wages for the notice period, or for any part of it that it does not require the Employee to serve. Where the Employee is a worker within section 2(zr) of the Industrial Relations Code, 2020 with not less than one year of continuous service, and the Company ends the employment, the Company shall comply with section 70 of that Code, whatever period this clause states.</w:t>
      </w:r>
    </w:p>
    <w:p>
      <w:pPr>
        <w:keepNext w:val="0"/>
        <w:spacing w:after="40" w:before="0"/>
      </w:pPr>
      <w:r>
        <w:rPr>
          <w:rFonts w:ascii="Calibri" w:hAnsi="Calibri"/>
          <w:b/>
          <w:i w:val="0"/>
          <w:color w:val="1D1D1D"/>
          <w:sz w:val="20"/>
        </w:rPr>
        <w:t>[NUMBER].2  Early release</w:t>
      </w:r>
    </w:p>
    <w:p>
      <w:pPr>
        <w:keepNext w:val="0"/>
        <w:spacing w:after="160" w:before="0"/>
        <w:ind w:left="288"/>
      </w:pPr>
      <w:r>
        <w:rPr>
          <w:rFonts w:ascii="Calibri" w:hAnsi="Calibri"/>
          <w:b w:val="0"/>
          <w:i w:val="0"/>
          <w:color w:val="1D1D1D"/>
          <w:sz w:val="20"/>
        </w:rPr>
        <w:t>The Company may release the Employee before the notice ends. Any release, and any waiver of the remaining notice, shall be in writing and shall state the number of days waived.</w:t>
      </w:r>
    </w:p>
    <w:p>
      <w:pPr>
        <w:keepNext w:val="0"/>
        <w:spacing w:after="40" w:before="0"/>
      </w:pPr>
      <w:r>
        <w:rPr>
          <w:rFonts w:ascii="Calibri" w:hAnsi="Calibri"/>
          <w:b/>
          <w:i w:val="0"/>
          <w:color w:val="1D1D1D"/>
          <w:sz w:val="20"/>
        </w:rPr>
        <w:t>[NUMBER].3  Compensation for a shortfall</w:t>
      </w:r>
    </w:p>
    <w:p>
      <w:pPr>
        <w:keepNext w:val="0"/>
        <w:spacing w:after="160" w:before="0"/>
        <w:ind w:left="288"/>
      </w:pPr>
      <w:r>
        <w:rPr>
          <w:rFonts w:ascii="Calibri" w:hAnsi="Calibri"/>
          <w:b w:val="0"/>
          <w:i w:val="0"/>
          <w:color w:val="1D1D1D"/>
          <w:sz w:val="20"/>
        </w:rPr>
        <w:t>If the Employee leaves without serving the full notice and the shortfall has not been waived in writing, the Company may claim from the Employee reasonable compensation for the loss caused, not exceeding [MONTHLY GROSS SALARY DIVIDED BY 30] for each day of notice not served.</w:t>
      </w:r>
    </w:p>
    <w:p>
      <w:pPr>
        <w:keepNext w:val="0"/>
        <w:spacing w:after="40" w:before="0"/>
      </w:pPr>
      <w:r>
        <w:rPr>
          <w:rFonts w:ascii="Calibri" w:hAnsi="Calibri"/>
          <w:b/>
          <w:i w:val="0"/>
          <w:color w:val="1D1D1D"/>
          <w:sz w:val="20"/>
        </w:rPr>
        <w:t>[NUMBER].4  No deduction from wages</w:t>
      </w:r>
    </w:p>
    <w:p>
      <w:pPr>
        <w:keepNext w:val="0"/>
        <w:spacing w:after="160" w:before="0"/>
        <w:ind w:left="288"/>
      </w:pPr>
      <w:r>
        <w:rPr>
          <w:rFonts w:ascii="Calibri" w:hAnsi="Calibri"/>
          <w:b w:val="0"/>
          <w:i w:val="0"/>
          <w:color w:val="1D1D1D"/>
          <w:sz w:val="20"/>
        </w:rPr>
        <w:t>Nothing in this clause authorises any deduction from wages. All wages shall be paid in full within the time the Code on Wages, 2019 requires, other dues within the time the law governing each requires, and any amount under this clause shall be claimed separately.</w:t>
      </w:r>
    </w:p>
    <w:p>
      <w:pPr>
        <w:keepNext w:val="0"/>
        <w:spacing w:after="160" w:before="0"/>
        <w:ind w:left="216"/>
        <w:shd w:val="clear" w:fill="FFF8E8"/>
      </w:pPr>
      <w:r>
        <w:rPr>
          <w:rFonts w:ascii="Calibri" w:hAnsi="Calibri"/>
          <w:b w:val="0"/>
          <w:i w:val="0"/>
          <w:color w:val="1D1D1D"/>
          <w:sz w:val="20"/>
        </w:rPr>
        <w:t>The employer's side has floors this clause cannot go below. Section 70 of the IR Code, in any industry and at any headcount, gives a worker with one year of continuous service one month's written notice with reasons, or wages in lieu, plus retrenchment compensation and notice to the government, whenever the employer ends the employment for anything other than the reasons the Code carves out. And where the model standing orders apply, a permanent worker gets one month or wages in lieu. The clause can give more; it cannot give less. If you use the employment agreement pack, this replaces its notice clause.</w:t>
      </w:r>
    </w:p>
    <w:p>
      <w:r>
        <w:br w:type="page"/>
      </w:r>
    </w:p>
    <w:p>
      <w:pPr>
        <w:pStyle w:val="Heading1"/>
        <w:keepNext/>
        <w:spacing w:after="200" w:before="80"/>
        <w:ind w:left="115"/>
        <w:shd w:val="clear" w:fill="0069A4"/>
      </w:pPr>
      <w:r>
        <w:rPr>
          <w:rFonts w:ascii="Calibri" w:hAnsi="Calibri"/>
          <w:b/>
          <w:color w:val="FFFFFF"/>
          <w:sz w:val="20"/>
        </w:rPr>
        <w:t>FORMAT 02  ·  ACKNOWLEDGEMENT OF RESIGNATION</w:t>
      </w:r>
    </w:p>
    <w:p>
      <w:pPr>
        <w:keepNext w:val="0"/>
        <w:spacing w:after="160" w:before="0"/>
        <w:ind w:left="144"/>
        <w:shd w:val="clear" w:fill="F4FAFE"/>
      </w:pPr>
      <w:r>
        <w:rPr>
          <w:rFonts w:ascii="Calibri" w:hAnsi="Calibri"/>
          <w:b w:val="0"/>
          <w:i/>
          <w:color w:val="565656"/>
          <w:sz w:val="18"/>
        </w:rPr>
        <w:t>Fix the last working day in writing on the day it is agreed. Every clock in this pack runs from it: the settlement, the service certificate and the shortfall.</w:t>
      </w:r>
    </w:p>
    <w:p>
      <w:pPr>
        <w:keepNext w:val="0"/>
        <w:spacing w:after="200" w:before="0"/>
      </w:pPr>
      <w:r>
        <w:rPr>
          <w:rFonts w:ascii="Calibri" w:hAnsi="Calibri"/>
          <w:b w:val="0"/>
          <w:i w:val="0"/>
          <w:color w:val="565656"/>
          <w:sz w:val="18"/>
        </w:rPr>
        <w:t>[COMPANY LETTERHEAD]</w:t>
      </w:r>
    </w:p>
    <w:p>
      <w:pPr>
        <w:keepNext w:val="0"/>
        <w:spacing w:after="160" w:before="0"/>
      </w:pPr>
      <w:r>
        <w:rPr>
          <w:rFonts w:ascii="Calibri" w:hAnsi="Calibri"/>
          <w:b w:val="0"/>
          <w:i w:val="0"/>
          <w:color w:val="1D1D1D"/>
          <w:sz w:val="19"/>
        </w:rPr>
        <w:t>Ref: [REFERENCE NO.]                    Date: [DD-MMM-YYYY]</w:t>
      </w:r>
    </w:p>
    <w:p>
      <w:pPr>
        <w:keepNext w:val="0"/>
        <w:spacing w:after="120" w:before="0"/>
      </w:pPr>
      <w:r>
        <w:rPr>
          <w:rFonts w:ascii="Calibri" w:hAnsi="Calibri"/>
          <w:b w:val="0"/>
          <w:i w:val="0"/>
          <w:color w:val="1D1D1D"/>
          <w:sz w:val="20"/>
        </w:rPr>
        <w:t>To: [EMPLOYEE NAME], [DESIGNATION], Employee Code [CODE]</w:t>
      </w:r>
    </w:p>
    <w:p>
      <w:pPr>
        <w:keepNext w:val="0"/>
        <w:spacing w:after="120" w:before="0"/>
      </w:pPr>
      <w:r>
        <w:rPr>
          <w:rFonts w:ascii="Calibri" w:hAnsi="Calibri"/>
          <w:b w:val="0"/>
          <w:i w:val="0"/>
          <w:color w:val="1D1D1D"/>
          <w:sz w:val="20"/>
        </w:rPr>
        <w:t>Subject: Acknowledgement of your resignation</w:t>
      </w:r>
    </w:p>
    <w:p>
      <w:pPr>
        <w:keepNext w:val="0"/>
        <w:spacing w:after="120" w:before="0"/>
      </w:pPr>
      <w:r>
        <w:rPr>
          <w:rFonts w:ascii="Calibri" w:hAnsi="Calibri"/>
          <w:b w:val="0"/>
          <w:i w:val="0"/>
          <w:color w:val="1D1D1D"/>
          <w:sz w:val="20"/>
        </w:rPr>
        <w:t>Dear [FIRST NAME],</w:t>
      </w:r>
    </w:p>
    <w:p>
      <w:pPr>
        <w:keepNext w:val="0"/>
        <w:spacing w:after="120" w:before="0"/>
      </w:pPr>
      <w:r>
        <w:rPr>
          <w:rFonts w:ascii="Calibri" w:hAnsi="Calibri"/>
          <w:b w:val="0"/>
          <w:i w:val="0"/>
          <w:color w:val="1D1D1D"/>
          <w:sz w:val="20"/>
        </w:rPr>
        <w:t>We acknowledge your letter of resignation dated [DD-MMM-YYYY], received on [DD-MMM-YYYY].</w:t>
      </w:r>
    </w:p>
    <w:p>
      <w:pPr>
        <w:keepNext w:val="0"/>
        <w:spacing w:after="120" w:before="0"/>
      </w:pPr>
      <w:r>
        <w:rPr>
          <w:rFonts w:ascii="Calibri" w:hAnsi="Calibri"/>
          <w:b w:val="0"/>
          <w:i w:val="0"/>
          <w:color w:val="1D1D1D"/>
          <w:sz w:val="20"/>
        </w:rPr>
        <w:t>Your notice period under clause [NUMBER] of your letter of appointment is [NUMBER] days. Your last working day will be [DD-MMM-YYYY]. [IF EARLY RELEASE HAS BEEN AGREED: Your last working day has been brought forward to [DD-MMM-YYYY] on the terms of our letter dated [DD-MMM-YYYY].]</w:t>
      </w:r>
    </w:p>
    <w:p>
      <w:pPr>
        <w:keepNext w:val="0"/>
        <w:spacing w:after="120" w:before="0"/>
      </w:pPr>
      <w:r>
        <w:rPr>
          <w:rFonts w:ascii="Calibri" w:hAnsi="Calibri"/>
          <w:b w:val="0"/>
          <w:i w:val="0"/>
          <w:color w:val="1D1D1D"/>
          <w:sz w:val="20"/>
        </w:rPr>
        <w:t>Your wages will be paid in full within two working days of your last working day, with a statement showing each item. Any gratuity due will be paid separately, within the time the Code on Social Security, 2020 allows. [WHERE THE MODEL STANDING ORDERS APPLY: Your service certificate will be issued within ten days of your resignation.]</w:t>
      </w:r>
    </w:p>
    <w:p>
      <w:pPr>
        <w:keepNext w:val="0"/>
        <w:spacing w:after="120" w:before="0"/>
      </w:pPr>
      <w:r>
        <w:rPr>
          <w:rFonts w:ascii="Calibri" w:hAnsi="Calibri"/>
          <w:b w:val="0"/>
          <w:i w:val="0"/>
          <w:color w:val="1D1D1D"/>
          <w:sz w:val="20"/>
        </w:rPr>
        <w:t>Please hand over [COMPANY PROPERTY, DOCUMENTS, ACCESS CARDS] to [NAME] on or before your last working day.</w:t>
      </w:r>
    </w:p>
    <w:p>
      <w:pPr>
        <w:keepNext w:val="0"/>
        <w:spacing w:after="120" w:before="0"/>
      </w:pPr>
      <w:r>
        <w:rPr>
          <w:rFonts w:ascii="Calibri" w:hAnsi="Calibri"/>
          <w:b w:val="0"/>
          <w:i w:val="0"/>
          <w:color w:val="1D1D1D"/>
          <w:sz w:val="21"/>
        </w:rPr>
      </w:r>
    </w:p>
    <w:p>
      <w:pPr>
        <w:keepNext w:val="0"/>
        <w:spacing w:after="320" w:before="0"/>
      </w:pPr>
      <w:r>
        <w:rPr>
          <w:rFonts w:ascii="Calibri" w:hAnsi="Calibri"/>
          <w:b w:val="0"/>
          <w:i w:val="0"/>
          <w:color w:val="1D1D1D"/>
          <w:sz w:val="20"/>
        </w:rPr>
        <w:t>For [COMPANY NAME]</w:t>
      </w:r>
    </w:p>
    <w:p>
      <w:pPr>
        <w:keepNext w:val="0"/>
        <w:spacing w:after="200" w:before="0"/>
      </w:pPr>
      <w:r>
        <w:rPr>
          <w:rFonts w:ascii="Calibri" w:hAnsi="Calibri"/>
          <w:b/>
          <w:i w:val="0"/>
          <w:color w:val="1D1D1D"/>
          <w:sz w:val="20"/>
        </w:rPr>
        <w:t>[NAME], [DESIGNATION]</w:t>
      </w:r>
    </w:p>
    <w:p>
      <w:pPr>
        <w:spacing w:after="160" w:before="160"/>
        <w:pBdr>
          <w:bottom w:val="single" w:sz="6" w:space="1" w:color="D1EAF9"/>
        </w:pBdr>
      </w:pPr>
    </w:p>
    <w:p>
      <w:pPr>
        <w:keepNext w:val="0"/>
        <w:spacing w:after="240" w:before="0"/>
      </w:pPr>
      <w:r>
        <w:rPr>
          <w:rFonts w:ascii="Calibri" w:hAnsi="Calibri"/>
          <w:b w:val="0"/>
          <w:i/>
          <w:color w:val="565656"/>
          <w:sz w:val="18"/>
        </w:rPr>
        <w:t>Received a copy.</w:t>
      </w:r>
    </w:p>
    <w:p>
      <w:pPr>
        <w:keepNext w:val="0"/>
        <w:spacing w:after="80" w:before="0"/>
      </w:pPr>
      <w:r>
        <w:rPr>
          <w:rFonts w:ascii="Calibri" w:hAnsi="Calibri"/>
          <w:b w:val="0"/>
          <w:i w:val="0"/>
          <w:color w:val="1D1D1D"/>
          <w:sz w:val="19"/>
        </w:rPr>
        <w:t>Signature of the employee: ______________________       Date: ______________</w:t>
      </w:r>
    </w:p>
    <w:p>
      <w:r>
        <w:br w:type="page"/>
      </w:r>
    </w:p>
    <w:p>
      <w:pPr>
        <w:pStyle w:val="Heading1"/>
        <w:keepNext/>
        <w:spacing w:after="200" w:before="80"/>
        <w:ind w:left="115"/>
        <w:shd w:val="clear" w:fill="0069A4"/>
      </w:pPr>
      <w:r>
        <w:rPr>
          <w:rFonts w:ascii="Calibri" w:hAnsi="Calibri"/>
          <w:b/>
          <w:color w:val="FFFFFF"/>
          <w:sz w:val="20"/>
        </w:rPr>
        <w:t>FORMAT 03  ·  EARLY RELEASE OR BUYOUT ON REQUEST</w:t>
      </w:r>
    </w:p>
    <w:p>
      <w:pPr>
        <w:keepNext w:val="0"/>
        <w:spacing w:after="160" w:before="0"/>
        <w:ind w:left="144"/>
        <w:shd w:val="clear" w:fill="F4FAFE"/>
      </w:pPr>
      <w:r>
        <w:rPr>
          <w:rFonts w:ascii="Calibri" w:hAnsi="Calibri"/>
          <w:b w:val="0"/>
          <w:i/>
          <w:color w:val="565656"/>
          <w:sz w:val="18"/>
        </w:rPr>
        <w:t>Decide the shortfall in the release letter, not afterwards. A waiver given in writing before the last day closes the question; silence invites both sides to remember it differently. Option B needs the employee's signed acceptance: if the Company releases someone without it, the days it released them from are not a breach by them, and there is nothing left to claim. Option B is a buyout in substance, so nothing under it is taken while they are still employed.</w:t>
      </w:r>
    </w:p>
    <w:p>
      <w:pPr>
        <w:keepNext w:val="0"/>
        <w:spacing w:after="200" w:before="0"/>
      </w:pPr>
      <w:r>
        <w:rPr>
          <w:rFonts w:ascii="Calibri" w:hAnsi="Calibri"/>
          <w:b w:val="0"/>
          <w:i w:val="0"/>
          <w:color w:val="565656"/>
          <w:sz w:val="18"/>
        </w:rPr>
        <w:t>[COMPANY LETTERHEAD]</w:t>
      </w:r>
    </w:p>
    <w:p>
      <w:pPr>
        <w:keepNext w:val="0"/>
        <w:spacing w:after="160" w:before="0"/>
      </w:pPr>
      <w:r>
        <w:rPr>
          <w:rFonts w:ascii="Calibri" w:hAnsi="Calibri"/>
          <w:b w:val="0"/>
          <w:i w:val="0"/>
          <w:color w:val="1D1D1D"/>
          <w:sz w:val="19"/>
        </w:rPr>
        <w:t>Ref: [REFERENCE NO.]                    Date: [DD-MMM-YYYY]</w:t>
      </w:r>
    </w:p>
    <w:p>
      <w:pPr>
        <w:keepNext w:val="0"/>
        <w:spacing w:after="120" w:before="0"/>
      </w:pPr>
      <w:r>
        <w:rPr>
          <w:rFonts w:ascii="Calibri" w:hAnsi="Calibri"/>
          <w:b w:val="0"/>
          <w:i w:val="0"/>
          <w:color w:val="1D1D1D"/>
          <w:sz w:val="20"/>
        </w:rPr>
        <w:t>To: [EMPLOYEE NAME], [DESIGNATION], Employee Code [CODE]</w:t>
      </w:r>
    </w:p>
    <w:p>
      <w:pPr>
        <w:keepNext w:val="0"/>
        <w:spacing w:after="120" w:before="0"/>
      </w:pPr>
      <w:r>
        <w:rPr>
          <w:rFonts w:ascii="Calibri" w:hAnsi="Calibri"/>
          <w:b w:val="0"/>
          <w:i w:val="0"/>
          <w:color w:val="1D1D1D"/>
          <w:sz w:val="20"/>
        </w:rPr>
        <w:t>Subject: Early release from your notice period</w:t>
      </w:r>
    </w:p>
    <w:p>
      <w:pPr>
        <w:keepNext w:val="0"/>
        <w:spacing w:after="120" w:before="0"/>
      </w:pPr>
      <w:r>
        <w:rPr>
          <w:rFonts w:ascii="Calibri" w:hAnsi="Calibri"/>
          <w:b w:val="0"/>
          <w:i w:val="0"/>
          <w:color w:val="1D1D1D"/>
          <w:sz w:val="20"/>
        </w:rPr>
        <w:t>Dear [FIRST NAME],</w:t>
      </w:r>
    </w:p>
    <w:p>
      <w:pPr>
        <w:keepNext w:val="0"/>
        <w:spacing w:after="120" w:before="0"/>
      </w:pPr>
      <w:r>
        <w:rPr>
          <w:rFonts w:ascii="Calibri" w:hAnsi="Calibri"/>
          <w:b w:val="0"/>
          <w:i w:val="0"/>
          <w:color w:val="1D1D1D"/>
          <w:sz w:val="20"/>
        </w:rPr>
        <w:t>Further to your request dated [DD-MMM-YYYY], you are released from your notice period with effect from the close of [DD-MMM-YYYY], which will be your last working day. Of your notice of [NUMBER] days, [NUMBER] days will have been served and [NUMBER] days remain.</w:t>
      </w:r>
    </w:p>
    <w:p>
      <w:pPr>
        <w:keepNext w:val="0"/>
        <w:spacing w:after="120" w:before="0"/>
      </w:pPr>
      <w:r>
        <w:rPr>
          <w:rFonts w:ascii="Calibri" w:hAnsi="Calibri"/>
          <w:b w:val="0"/>
          <w:i w:val="0"/>
          <w:color w:val="1D1D1D"/>
          <w:sz w:val="20"/>
        </w:rPr>
        <w:t>[OPTION A, FULL WAIVER: The Company waives the remaining [NUMBER] days in full. No amount is payable by you on account of notice.]</w:t>
      </w:r>
    </w:p>
    <w:p>
      <w:pPr>
        <w:keepNext w:val="0"/>
        <w:spacing w:after="120" w:before="0"/>
      </w:pPr>
      <w:r>
        <w:rPr>
          <w:rFonts w:ascii="Calibri" w:hAnsi="Calibri"/>
          <w:b w:val="0"/>
          <w:i w:val="0"/>
          <w:color w:val="1D1D1D"/>
          <w:sz w:val="20"/>
        </w:rPr>
        <w:t>[OPTION B, PART WAIVER: The Company waives [NUMBER] of the remaining days. This release is given at your request and on your written acceptance below that the other [NUMBER] days remain unserved and that the Company's claim for them under clause [NUMBER] of your letter of appointment survives your release. Any amount under that claim will be sought only after your last working day, separately, and will not be deducted from any amount payable to you.]</w:t>
      </w:r>
    </w:p>
    <w:p>
      <w:pPr>
        <w:keepNext w:val="0"/>
        <w:spacing w:after="120" w:before="0"/>
      </w:pPr>
      <w:r>
        <w:rPr>
          <w:rFonts w:ascii="Calibri" w:hAnsi="Calibri"/>
          <w:b w:val="0"/>
          <w:i w:val="0"/>
          <w:color w:val="1D1D1D"/>
          <w:sz w:val="20"/>
        </w:rPr>
        <w:t>Your wages will be paid in full within two working days of your last working day.</w:t>
      </w:r>
    </w:p>
    <w:p>
      <w:pPr>
        <w:keepNext w:val="0"/>
        <w:spacing w:after="120" w:before="0"/>
      </w:pPr>
      <w:r>
        <w:rPr>
          <w:rFonts w:ascii="Calibri" w:hAnsi="Calibri"/>
          <w:b w:val="0"/>
          <w:i w:val="0"/>
          <w:color w:val="1D1D1D"/>
          <w:sz w:val="21"/>
        </w:rPr>
      </w:r>
    </w:p>
    <w:p>
      <w:pPr>
        <w:keepNext w:val="0"/>
        <w:spacing w:after="320" w:before="0"/>
      </w:pPr>
      <w:r>
        <w:rPr>
          <w:rFonts w:ascii="Calibri" w:hAnsi="Calibri"/>
          <w:b w:val="0"/>
          <w:i w:val="0"/>
          <w:color w:val="1D1D1D"/>
          <w:sz w:val="20"/>
        </w:rPr>
        <w:t>For [COMPANY NAME]</w:t>
      </w:r>
    </w:p>
    <w:p>
      <w:pPr>
        <w:keepNext w:val="0"/>
        <w:spacing w:after="200" w:before="0"/>
      </w:pPr>
      <w:r>
        <w:rPr>
          <w:rFonts w:ascii="Calibri" w:hAnsi="Calibri"/>
          <w:b/>
          <w:i w:val="0"/>
          <w:color w:val="1D1D1D"/>
          <w:sz w:val="20"/>
        </w:rPr>
        <w:t>[NAME], [DESIGNATION]</w:t>
      </w:r>
    </w:p>
    <w:p>
      <w:pPr>
        <w:spacing w:after="160" w:before="160"/>
        <w:pBdr>
          <w:bottom w:val="single" w:sz="6" w:space="1" w:color="D1EAF9"/>
        </w:pBdr>
      </w:pPr>
    </w:p>
    <w:p>
      <w:pPr>
        <w:keepNext w:val="0"/>
        <w:spacing w:after="240" w:before="0"/>
      </w:pPr>
      <w:r>
        <w:rPr>
          <w:rFonts w:ascii="Calibri" w:hAnsi="Calibri"/>
          <w:b w:val="0"/>
          <w:i/>
          <w:color w:val="565656"/>
          <w:sz w:val="18"/>
        </w:rPr>
        <w:t>[FOR OPTION B ONLY] I asked to be released early. I accept that the days stated above remain unserved at my request and that the Company's claim for them survives my release, to be made separately after my last working day and not deducted from any amount payable to me.</w:t>
      </w:r>
    </w:p>
    <w:p>
      <w:pPr>
        <w:keepNext w:val="0"/>
        <w:spacing w:after="80" w:before="0"/>
      </w:pPr>
      <w:r>
        <w:rPr>
          <w:rFonts w:ascii="Calibri" w:hAnsi="Calibri"/>
          <w:b w:val="0"/>
          <w:i w:val="0"/>
          <w:color w:val="1D1D1D"/>
          <w:sz w:val="19"/>
        </w:rPr>
        <w:t>Signature of the employee: ______________________       Date: ______________</w:t>
      </w:r>
    </w:p>
    <w:p>
      <w:r>
        <w:br w:type="page"/>
      </w:r>
    </w:p>
    <w:p>
      <w:pPr>
        <w:pStyle w:val="Heading1"/>
        <w:keepNext/>
        <w:spacing w:after="200" w:before="80"/>
        <w:ind w:left="115"/>
        <w:shd w:val="clear" w:fill="0069A4"/>
      </w:pPr>
      <w:r>
        <w:rPr>
          <w:rFonts w:ascii="Calibri" w:hAnsi="Calibri"/>
          <w:b/>
          <w:color w:val="FFFFFF"/>
          <w:sz w:val="20"/>
        </w:rPr>
        <w:t>FORMAT 04  ·  FULL AND FINAL SETTLEMENT STATEMENT</w:t>
      </w:r>
    </w:p>
    <w:p>
      <w:pPr>
        <w:keepNext w:val="0"/>
        <w:spacing w:after="160" w:before="0"/>
        <w:ind w:left="144"/>
        <w:shd w:val="clear" w:fill="F4FAFE"/>
      </w:pPr>
      <w:r>
        <w:rPr>
          <w:rFonts w:ascii="Calibri" w:hAnsi="Calibri"/>
          <w:b w:val="0"/>
          <w:i/>
          <w:color w:val="565656"/>
          <w:sz w:val="18"/>
        </w:rPr>
        <w:t>Every deduction above the line names its clause of section 18(2). The notice shortfall goes below the line, as a separate claim, and is not subtracted from anything.</w:t>
      </w:r>
    </w:p>
    <w:p>
      <w:pPr>
        <w:keepNext w:val="0"/>
        <w:spacing w:after="200" w:before="0"/>
      </w:pPr>
      <w:r>
        <w:rPr>
          <w:rFonts w:ascii="Calibri" w:hAnsi="Calibri"/>
          <w:b w:val="0"/>
          <w:i w:val="0"/>
          <w:color w:val="565656"/>
          <w:sz w:val="18"/>
        </w:rPr>
        <w:t>[COMPANY LETTERHEAD]</w:t>
      </w:r>
    </w:p>
    <w:p>
      <w:pPr>
        <w:keepNext w:val="0"/>
        <w:spacing w:after="160" w:before="0"/>
      </w:pPr>
      <w:r>
        <w:rPr>
          <w:rFonts w:ascii="Calibri" w:hAnsi="Calibri"/>
          <w:b w:val="0"/>
          <w:i w:val="0"/>
          <w:color w:val="1D1D1D"/>
          <w:sz w:val="19"/>
        </w:rPr>
        <w:t>Employee: [NAME], Employee Code [CODE]      Last working day: [DD-MMM-YYYY]      Paid on: [DD-MMM-YYYY]</w:t>
      </w:r>
    </w:p>
    <w:p>
      <w:pPr>
        <w:keepNext w:val="0"/>
        <w:spacing w:after="80" w:before="0"/>
      </w:pPr>
      <w:r>
        <w:rPr>
          <w:rFonts w:ascii="Calibri" w:hAnsi="Calibri"/>
          <w:b/>
          <w:i w:val="0"/>
          <w:color w:val="1D1D1D"/>
          <w:sz w:val="20"/>
        </w:rPr>
        <w:t>A.  Payable</w:t>
      </w:r>
    </w:p>
    <w:tbl>
      <w:tblPr>
        <w:tblStyle w:val="TableGrid"/>
        <w:tblW w:type="auto" w:w="0"/>
        <w:tblLook w:firstColumn="1" w:firstRow="1" w:lastColumn="0" w:lastRow="0" w:noHBand="0" w:noVBand="1" w:val="04A0"/>
      </w:tblPr>
      <w:tblGrid>
        <w:gridCol w:w="4824"/>
        <w:gridCol w:w="4824"/>
      </w:tblGrid>
      <w:tr>
        <w:tc>
          <w:tcPr>
            <w:tcW w:type="dxa" w:w="7200"/>
          </w:tcPr>
          <w:p>
            <w:pPr>
              <w:spacing w:after="40"/>
              <w:shd w:val="clear" w:fill="E8F4FC"/>
            </w:pPr>
            <w:r/>
            <w:r>
              <w:rPr>
                <w:rFonts w:ascii="Calibri" w:hAnsi="Calibri"/>
                <w:b/>
                <w:color w:val="0069A4"/>
                <w:sz w:val="18"/>
              </w:rPr>
              <w:t>Item</w:t>
            </w:r>
          </w:p>
        </w:tc>
        <w:tc>
          <w:tcPr>
            <w:tcW w:type="dxa" w:w="2448"/>
          </w:tcPr>
          <w:p>
            <w:pPr>
              <w:spacing w:after="40"/>
              <w:shd w:val="clear" w:fill="E8F4FC"/>
            </w:pPr>
            <w:r/>
            <w:r>
              <w:rPr>
                <w:rFonts w:ascii="Calibri" w:hAnsi="Calibri"/>
                <w:b/>
                <w:color w:val="0069A4"/>
                <w:sz w:val="18"/>
              </w:rPr>
              <w:t>Amount</w:t>
            </w:r>
          </w:p>
        </w:tc>
      </w:tr>
      <w:tr>
        <w:tc>
          <w:tcPr>
            <w:tcW w:type="dxa" w:w="7200"/>
          </w:tcPr>
          <w:p>
            <w:pPr>
              <w:spacing w:after="40"/>
            </w:pPr>
            <w:r/>
            <w:r>
              <w:rPr>
                <w:rFonts w:ascii="Calibri" w:hAnsi="Calibri"/>
                <w:color w:val="565656"/>
                <w:sz w:val="18"/>
              </w:rPr>
              <w:t>Wages for the final wage period</w:t>
            </w:r>
          </w:p>
        </w:tc>
        <w:tc>
          <w:tcPr>
            <w:tcW w:type="dxa" w:w="2448"/>
          </w:tcPr>
          <w:p>
            <w:pPr>
              <w:spacing w:after="40"/>
            </w:pPr>
            <w:r/>
            <w:r>
              <w:rPr>
                <w:rFonts w:ascii="Calibri" w:hAnsi="Calibri"/>
                <w:color w:val="565656"/>
                <w:sz w:val="18"/>
              </w:rPr>
              <w:t>₹[AMOUNT]</w:t>
            </w:r>
          </w:p>
        </w:tc>
      </w:tr>
      <w:tr>
        <w:tc>
          <w:tcPr>
            <w:tcW w:type="dxa" w:w="7200"/>
          </w:tcPr>
          <w:p>
            <w:pPr>
              <w:spacing w:after="40"/>
            </w:pPr>
            <w:r/>
            <w:r>
              <w:rPr>
                <w:rFonts w:ascii="Calibri" w:hAnsi="Calibri"/>
                <w:color w:val="565656"/>
                <w:sz w:val="18"/>
              </w:rPr>
              <w:t>Arrears, reimbursements and other amounts due</w:t>
            </w:r>
          </w:p>
        </w:tc>
        <w:tc>
          <w:tcPr>
            <w:tcW w:type="dxa" w:w="2448"/>
          </w:tcPr>
          <w:p>
            <w:pPr>
              <w:spacing w:after="40"/>
            </w:pPr>
            <w:r/>
            <w:r>
              <w:rPr>
                <w:rFonts w:ascii="Calibri" w:hAnsi="Calibri"/>
                <w:color w:val="565656"/>
                <w:sz w:val="18"/>
              </w:rPr>
              <w:t>₹[AMOUNT]</w:t>
            </w:r>
          </w:p>
        </w:tc>
      </w:tr>
      <w:tr>
        <w:tc>
          <w:tcPr>
            <w:tcW w:type="dxa" w:w="7200"/>
          </w:tcPr>
          <w:p>
            <w:pPr>
              <w:spacing w:after="40"/>
            </w:pPr>
            <w:r/>
            <w:r>
              <w:rPr>
                <w:rFonts w:ascii="Calibri" w:hAnsi="Calibri"/>
                <w:color w:val="565656"/>
                <w:sz w:val="18"/>
              </w:rPr>
              <w:t>Encashment of earned leave, where due</w:t>
            </w:r>
          </w:p>
        </w:tc>
        <w:tc>
          <w:tcPr>
            <w:tcW w:type="dxa" w:w="2448"/>
          </w:tcPr>
          <w:p>
            <w:pPr>
              <w:spacing w:after="40"/>
            </w:pPr>
            <w:r/>
            <w:r>
              <w:rPr>
                <w:rFonts w:ascii="Calibri" w:hAnsi="Calibri"/>
                <w:color w:val="565656"/>
                <w:sz w:val="18"/>
              </w:rPr>
              <w:t>₹[AMOUNT]</w:t>
            </w:r>
          </w:p>
        </w:tc>
      </w:tr>
    </w:tbl>
    <w:p>
      <w:pPr>
        <w:keepNext w:val="0"/>
        <w:spacing w:after="80" w:before="0"/>
      </w:pPr>
      <w:r>
        <w:rPr>
          <w:rFonts w:ascii="Calibri" w:hAnsi="Calibri"/>
          <w:b w:val="0"/>
          <w:i w:val="0"/>
          <w:color w:val="1D1D1D"/>
          <w:sz w:val="21"/>
        </w:rPr>
      </w:r>
    </w:p>
    <w:p>
      <w:pPr>
        <w:keepNext w:val="0"/>
        <w:spacing w:after="80" w:before="0"/>
      </w:pPr>
      <w:r>
        <w:rPr>
          <w:rFonts w:ascii="Calibri" w:hAnsi="Calibri"/>
          <w:b/>
          <w:i w:val="0"/>
          <w:color w:val="1D1D1D"/>
          <w:sz w:val="20"/>
        </w:rPr>
        <w:t>B.  Deductions, each under its clause of section 18(2)</w:t>
      </w:r>
    </w:p>
    <w:tbl>
      <w:tblPr>
        <w:tblStyle w:val="TableGrid"/>
        <w:tblW w:type="auto" w:w="0"/>
        <w:tblLook w:firstColumn="1" w:firstRow="1" w:lastColumn="0" w:lastRow="0" w:noHBand="0" w:noVBand="1" w:val="04A0"/>
      </w:tblPr>
      <w:tblGrid>
        <w:gridCol w:w="3216"/>
        <w:gridCol w:w="3216"/>
        <w:gridCol w:w="3216"/>
      </w:tblGrid>
      <w:tr>
        <w:tc>
          <w:tcPr>
            <w:tcW w:type="dxa" w:w="5760"/>
          </w:tcPr>
          <w:p>
            <w:pPr>
              <w:spacing w:after="40"/>
              <w:shd w:val="clear" w:fill="E8F4FC"/>
            </w:pPr>
            <w:r/>
            <w:r>
              <w:rPr>
                <w:rFonts w:ascii="Calibri" w:hAnsi="Calibri"/>
                <w:b/>
                <w:color w:val="0069A4"/>
                <w:sz w:val="18"/>
              </w:rPr>
              <w:t>Item</w:t>
            </w:r>
          </w:p>
        </w:tc>
        <w:tc>
          <w:tcPr>
            <w:tcW w:type="dxa" w:w="2016"/>
          </w:tcPr>
          <w:p>
            <w:pPr>
              <w:spacing w:after="40"/>
              <w:shd w:val="clear" w:fill="E8F4FC"/>
            </w:pPr>
            <w:r/>
            <w:r>
              <w:rPr>
                <w:rFonts w:ascii="Calibri" w:hAnsi="Calibri"/>
                <w:b/>
                <w:color w:val="0069A4"/>
                <w:sz w:val="18"/>
              </w:rPr>
              <w:t>Clause</w:t>
            </w:r>
          </w:p>
        </w:tc>
        <w:tc>
          <w:tcPr>
            <w:tcW w:type="dxa" w:w="1872"/>
          </w:tcPr>
          <w:p>
            <w:pPr>
              <w:spacing w:after="40"/>
              <w:shd w:val="clear" w:fill="E8F4FC"/>
            </w:pPr>
            <w:r/>
            <w:r>
              <w:rPr>
                <w:rFonts w:ascii="Calibri" w:hAnsi="Calibri"/>
                <w:b/>
                <w:color w:val="0069A4"/>
                <w:sz w:val="18"/>
              </w:rPr>
              <w:t>Amount</w:t>
            </w:r>
          </w:p>
        </w:tc>
      </w:tr>
      <w:tr>
        <w:tc>
          <w:tcPr>
            <w:tcW w:type="dxa" w:w="5760"/>
          </w:tcPr>
          <w:p>
            <w:pPr>
              <w:spacing w:after="40"/>
            </w:pPr>
            <w:r/>
            <w:r>
              <w:rPr>
                <w:rFonts w:ascii="Calibri" w:hAnsi="Calibri"/>
                <w:color w:val="565656"/>
                <w:sz w:val="18"/>
              </w:rPr>
              <w:t>Absence from duty, [NUMBER] days, capped under s.20(2)</w:t>
            </w:r>
          </w:p>
        </w:tc>
        <w:tc>
          <w:tcPr>
            <w:tcW w:type="dxa" w:w="2016"/>
          </w:tcPr>
          <w:p>
            <w:pPr>
              <w:spacing w:after="40"/>
            </w:pPr>
            <w:r/>
            <w:r>
              <w:rPr>
                <w:rFonts w:ascii="Calibri" w:hAnsi="Calibri"/>
                <w:color w:val="565656"/>
                <w:sz w:val="18"/>
              </w:rPr>
              <w:t>s.18(2)(b)</w:t>
            </w:r>
          </w:p>
        </w:tc>
        <w:tc>
          <w:tcPr>
            <w:tcW w:type="dxa" w:w="1872"/>
          </w:tcPr>
          <w:p>
            <w:pPr>
              <w:spacing w:after="40"/>
            </w:pPr>
            <w:r/>
            <w:r>
              <w:rPr>
                <w:rFonts w:ascii="Calibri" w:hAnsi="Calibri"/>
                <w:color w:val="565656"/>
                <w:sz w:val="18"/>
              </w:rPr>
              <w:t>₹[AMOUNT]</w:t>
            </w:r>
          </w:p>
        </w:tc>
      </w:tr>
      <w:tr>
        <w:tc>
          <w:tcPr>
            <w:tcW w:type="dxa" w:w="5760"/>
          </w:tcPr>
          <w:p>
            <w:pPr>
              <w:spacing w:after="40"/>
            </w:pPr>
            <w:r/>
            <w:r>
              <w:rPr>
                <w:rFonts w:ascii="Calibri" w:hAnsi="Calibri"/>
                <w:color w:val="565656"/>
                <w:sz w:val="18"/>
              </w:rPr>
              <w:t>Advance outstanding, or overpayment of wages</w:t>
            </w:r>
          </w:p>
        </w:tc>
        <w:tc>
          <w:tcPr>
            <w:tcW w:type="dxa" w:w="2016"/>
          </w:tcPr>
          <w:p>
            <w:pPr>
              <w:spacing w:after="40"/>
            </w:pPr>
            <w:r/>
            <w:r>
              <w:rPr>
                <w:rFonts w:ascii="Calibri" w:hAnsi="Calibri"/>
                <w:color w:val="565656"/>
                <w:sz w:val="18"/>
              </w:rPr>
              <w:t>s.18(2)(f)(i)</w:t>
            </w:r>
          </w:p>
        </w:tc>
        <w:tc>
          <w:tcPr>
            <w:tcW w:type="dxa" w:w="1872"/>
          </w:tcPr>
          <w:p>
            <w:pPr>
              <w:spacing w:after="40"/>
            </w:pPr>
            <w:r/>
            <w:r>
              <w:rPr>
                <w:rFonts w:ascii="Calibri" w:hAnsi="Calibri"/>
                <w:color w:val="565656"/>
                <w:sz w:val="18"/>
              </w:rPr>
              <w:t>₹[AMOUNT]</w:t>
            </w:r>
          </w:p>
        </w:tc>
      </w:tr>
      <w:tr>
        <w:tc>
          <w:tcPr>
            <w:tcW w:type="dxa" w:w="5760"/>
          </w:tcPr>
          <w:p>
            <w:pPr>
              <w:spacing w:after="40"/>
            </w:pPr>
            <w:r/>
            <w:r>
              <w:rPr>
                <w:rFonts w:ascii="Calibri" w:hAnsi="Calibri"/>
                <w:color w:val="565656"/>
                <w:sz w:val="18"/>
              </w:rPr>
              <w:t>Income-tax and provident fund</w:t>
            </w:r>
          </w:p>
        </w:tc>
        <w:tc>
          <w:tcPr>
            <w:tcW w:type="dxa" w:w="2016"/>
          </w:tcPr>
          <w:p>
            <w:pPr>
              <w:spacing w:after="40"/>
            </w:pPr>
            <w:r/>
            <w:r>
              <w:rPr>
                <w:rFonts w:ascii="Calibri" w:hAnsi="Calibri"/>
                <w:color w:val="565656"/>
                <w:sz w:val="18"/>
              </w:rPr>
              <w:t>s.18(2)(h) and (i)</w:t>
            </w:r>
          </w:p>
        </w:tc>
        <w:tc>
          <w:tcPr>
            <w:tcW w:type="dxa" w:w="1872"/>
          </w:tcPr>
          <w:p>
            <w:pPr>
              <w:spacing w:after="40"/>
            </w:pPr>
            <w:r/>
            <w:r>
              <w:rPr>
                <w:rFonts w:ascii="Calibri" w:hAnsi="Calibri"/>
                <w:color w:val="565656"/>
                <w:sz w:val="18"/>
              </w:rPr>
              <w:t>₹[AMOUNT]</w:t>
            </w:r>
          </w:p>
        </w:tc>
      </w:tr>
      <w:tr>
        <w:tc>
          <w:tcPr>
            <w:tcW w:type="dxa" w:w="5760"/>
          </w:tcPr>
          <w:p>
            <w:pPr>
              <w:spacing w:after="40"/>
            </w:pPr>
            <w:r/>
            <w:r>
              <w:rPr>
                <w:rFonts w:ascii="Calibri" w:hAnsi="Calibri"/>
                <w:color w:val="565656"/>
                <w:sz w:val="18"/>
              </w:rPr>
              <w:t>Total, not more than half of the wages for the period</w:t>
            </w:r>
          </w:p>
        </w:tc>
        <w:tc>
          <w:tcPr>
            <w:tcW w:type="dxa" w:w="2016"/>
          </w:tcPr>
          <w:p>
            <w:pPr>
              <w:spacing w:after="40"/>
            </w:pPr>
            <w:r/>
            <w:r>
              <w:rPr>
                <w:rFonts w:ascii="Calibri" w:hAnsi="Calibri"/>
                <w:color w:val="565656"/>
                <w:sz w:val="18"/>
              </w:rPr>
              <w:t>s.18(3)</w:t>
            </w:r>
          </w:p>
        </w:tc>
        <w:tc>
          <w:tcPr>
            <w:tcW w:type="dxa" w:w="1872"/>
          </w:tcPr>
          <w:p>
            <w:pPr>
              <w:spacing w:after="40"/>
            </w:pPr>
            <w:r/>
            <w:r>
              <w:rPr>
                <w:rFonts w:ascii="Calibri" w:hAnsi="Calibri"/>
                <w:color w:val="565656"/>
                <w:sz w:val="18"/>
              </w:rPr>
              <w:t>₹[AMOUNT]</w:t>
            </w:r>
          </w:p>
        </w:tc>
      </w:tr>
    </w:tbl>
    <w:p>
      <w:pPr>
        <w:keepNext w:val="0"/>
        <w:spacing w:after="80" w:before="0"/>
      </w:pPr>
      <w:r>
        <w:rPr>
          <w:rFonts w:ascii="Calibri" w:hAnsi="Calibri"/>
          <w:b w:val="0"/>
          <w:i w:val="0"/>
          <w:color w:val="1D1D1D"/>
          <w:sz w:val="21"/>
        </w:rPr>
      </w:r>
    </w:p>
    <w:p>
      <w:pPr>
        <w:keepNext w:val="0"/>
        <w:spacing w:after="160" w:before="0"/>
      </w:pPr>
      <w:r>
        <w:rPr>
          <w:rFonts w:ascii="Calibri" w:hAnsi="Calibri"/>
          <w:b/>
          <w:i w:val="0"/>
          <w:color w:val="1D1D1D"/>
          <w:sz w:val="20"/>
        </w:rPr>
        <w:t>Net paid: A less B = ₹[AMOUNT], by bank transfer on [DD-MMM-YYYY].</w:t>
      </w:r>
    </w:p>
    <w:p>
      <w:pPr>
        <w:keepNext w:val="0"/>
        <w:spacing w:after="160" w:before="0"/>
        <w:ind w:left="216"/>
        <w:shd w:val="clear" w:fill="F4FAFE"/>
      </w:pPr>
      <w:r>
        <w:rPr>
          <w:rFonts w:ascii="Calibri" w:hAnsi="Calibri"/>
          <w:b w:val="0"/>
          <w:i w:val="0"/>
          <w:color w:val="1D1D1D"/>
          <w:sz w:val="20"/>
        </w:rPr>
        <w:t>C.  Not deducted. Notice not served: [NUMBER] days. The Company's claim under clause [NUMBER] of the letter of appointment, of reasonable compensation not exceeding ₹[CEILING], will be made separately and has not been subtracted from any amount above. Gratuity, where due, is settled separately and without set-off.</w:t>
      </w:r>
    </w:p>
    <w:p>
      <w:pPr>
        <w:keepNext w:val="0"/>
        <w:spacing w:after="80" w:before="0"/>
      </w:pPr>
      <w:r>
        <w:rPr>
          <w:rFonts w:ascii="Calibri" w:hAnsi="Calibri"/>
          <w:b w:val="0"/>
          <w:i w:val="0"/>
          <w:color w:val="1D1D1D"/>
          <w:sz w:val="19"/>
        </w:rPr>
        <w:t>For [COMPANY NAME]: ______________________       Received: ______________________</w:t>
      </w:r>
    </w:p>
    <w:p>
      <w:r>
        <w:br w:type="page"/>
      </w:r>
    </w:p>
    <w:p>
      <w:pPr>
        <w:pStyle w:val="Heading1"/>
        <w:keepNext/>
        <w:spacing w:after="200" w:before="80"/>
        <w:ind w:left="115"/>
        <w:shd w:val="clear" w:fill="0069A4"/>
      </w:pPr>
      <w:r>
        <w:rPr>
          <w:rFonts w:ascii="Calibri" w:hAnsi="Calibri"/>
          <w:b/>
          <w:color w:val="FFFFFF"/>
          <w:sz w:val="20"/>
        </w:rPr>
        <w:t>FORMAT 05  ·  NOTICE SHORTFALL WORKSHEET</w:t>
      </w:r>
    </w:p>
    <w:p>
      <w:pPr>
        <w:keepNext w:val="0"/>
        <w:spacing w:after="160" w:before="0"/>
        <w:ind w:left="144"/>
        <w:shd w:val="clear" w:fill="F4FAFE"/>
      </w:pPr>
      <w:r>
        <w:rPr>
          <w:rFonts w:ascii="Calibri" w:hAnsi="Calibri"/>
          <w:b w:val="0"/>
          <w:i/>
          <w:color w:val="565656"/>
          <w:sz w:val="18"/>
        </w:rPr>
        <w:t>Two calculations that must never be mixed: the ceiling of the contract claim, and the absence deduction for days missed while still employed on notice.</w:t>
      </w:r>
    </w:p>
    <w:p>
      <w:pPr>
        <w:keepNext w:val="0"/>
        <w:spacing w:after="80" w:before="0"/>
      </w:pPr>
      <w:r>
        <w:rPr>
          <w:rFonts w:ascii="Calibri" w:hAnsi="Calibri"/>
          <w:b/>
          <w:i w:val="0"/>
          <w:color w:val="1D1D1D"/>
          <w:sz w:val="20"/>
        </w:rPr>
        <w:t>Part 1.  The contract claim, lines A to F. This never touches the payroll.</w:t>
      </w:r>
    </w:p>
    <w:tbl>
      <w:tblPr>
        <w:tblStyle w:val="TableGrid"/>
        <w:tblW w:type="auto" w:w="0"/>
        <w:tblLook w:firstColumn="1" w:firstRow="1" w:lastColumn="0" w:lastRow="0" w:noHBand="0" w:noVBand="1" w:val="04A0"/>
      </w:tblPr>
      <w:tblGrid>
        <w:gridCol w:w="2412"/>
        <w:gridCol w:w="2412"/>
        <w:gridCol w:w="2412"/>
        <w:gridCol w:w="2412"/>
      </w:tblGrid>
      <w:tr>
        <w:tc>
          <w:tcPr>
            <w:tcW w:type="dxa" w:w="720"/>
          </w:tcPr>
          <w:p>
            <w:pPr>
              <w:spacing w:after="40"/>
              <w:shd w:val="clear" w:fill="E8F4FC"/>
            </w:pPr>
            <w:r/>
            <w:r>
              <w:rPr>
                <w:rFonts w:ascii="Calibri" w:hAnsi="Calibri"/>
                <w:b/>
                <w:color w:val="0069A4"/>
                <w:sz w:val="18"/>
              </w:rPr>
              <w:t>Line</w:t>
            </w:r>
          </w:p>
        </w:tc>
        <w:tc>
          <w:tcPr>
            <w:tcW w:type="dxa" w:w="5616"/>
          </w:tcPr>
          <w:p>
            <w:pPr>
              <w:spacing w:after="40"/>
              <w:shd w:val="clear" w:fill="E8F4FC"/>
            </w:pPr>
            <w:r/>
            <w:r>
              <w:rPr>
                <w:rFonts w:ascii="Calibri" w:hAnsi="Calibri"/>
                <w:b/>
                <w:color w:val="0069A4"/>
                <w:sz w:val="18"/>
              </w:rPr>
              <w:t>What it is</w:t>
            </w:r>
          </w:p>
        </w:tc>
        <w:tc>
          <w:tcPr>
            <w:tcW w:type="dxa" w:w="1584"/>
          </w:tcPr>
          <w:p>
            <w:pPr>
              <w:spacing w:after="40"/>
              <w:shd w:val="clear" w:fill="E8F4FC"/>
            </w:pPr>
            <w:r/>
            <w:r>
              <w:rPr>
                <w:rFonts w:ascii="Calibri" w:hAnsi="Calibri"/>
                <w:b/>
                <w:color w:val="0069A4"/>
                <w:sz w:val="18"/>
              </w:rPr>
              <w:t>Example</w:t>
            </w:r>
          </w:p>
        </w:tc>
        <w:tc>
          <w:tcPr>
            <w:tcW w:type="dxa" w:w="1728"/>
          </w:tcPr>
          <w:p>
            <w:pPr>
              <w:spacing w:after="40"/>
              <w:shd w:val="clear" w:fill="E8F4FC"/>
            </w:pPr>
            <w:r/>
            <w:r>
              <w:rPr>
                <w:rFonts w:ascii="Calibri" w:hAnsi="Calibri"/>
                <w:b/>
                <w:color w:val="0069A4"/>
                <w:sz w:val="18"/>
              </w:rPr>
              <w:t>Your figures</w:t>
            </w:r>
          </w:p>
        </w:tc>
      </w:tr>
      <w:tr>
        <w:tc>
          <w:tcPr>
            <w:tcW w:type="dxa" w:w="720"/>
          </w:tcPr>
          <w:p>
            <w:pPr>
              <w:spacing w:after="40"/>
            </w:pPr>
            <w:r/>
            <w:r>
              <w:rPr>
                <w:rFonts w:ascii="Calibri" w:hAnsi="Calibri"/>
                <w:color w:val="565656"/>
                <w:sz w:val="18"/>
              </w:rPr>
              <w:t>A</w:t>
            </w:r>
          </w:p>
        </w:tc>
        <w:tc>
          <w:tcPr>
            <w:tcW w:type="dxa" w:w="5616"/>
          </w:tcPr>
          <w:p>
            <w:pPr>
              <w:spacing w:after="40"/>
            </w:pPr>
            <w:r/>
            <w:r>
              <w:rPr>
                <w:rFonts w:ascii="Calibri" w:hAnsi="Calibri"/>
                <w:color w:val="565656"/>
                <w:sz w:val="18"/>
              </w:rPr>
              <w:t>Notice in the contract, in days</w:t>
            </w:r>
          </w:p>
        </w:tc>
        <w:tc>
          <w:tcPr>
            <w:tcW w:type="dxa" w:w="1584"/>
          </w:tcPr>
          <w:p>
            <w:pPr>
              <w:spacing w:after="40"/>
            </w:pPr>
            <w:r/>
            <w:r>
              <w:rPr>
                <w:rFonts w:ascii="Calibri" w:hAnsi="Calibri"/>
                <w:color w:val="565656"/>
                <w:sz w:val="18"/>
              </w:rPr>
              <w:t>60</w:t>
            </w:r>
          </w:p>
        </w:tc>
        <w:tc>
          <w:tcPr>
            <w:tcW w:type="dxa" w:w="1728"/>
          </w:tcPr>
          <w:p>
            <w:pPr>
              <w:spacing w:after="40"/>
            </w:pPr>
            <w:r/>
            <w:r>
              <w:rPr>
                <w:rFonts w:ascii="Calibri" w:hAnsi="Calibri"/>
                <w:color w:val="565656"/>
                <w:sz w:val="18"/>
              </w:rPr>
            </w:r>
          </w:p>
        </w:tc>
      </w:tr>
      <w:tr>
        <w:tc>
          <w:tcPr>
            <w:tcW w:type="dxa" w:w="720"/>
          </w:tcPr>
          <w:p>
            <w:pPr>
              <w:spacing w:after="40"/>
            </w:pPr>
            <w:r/>
            <w:r>
              <w:rPr>
                <w:rFonts w:ascii="Calibri" w:hAnsi="Calibri"/>
                <w:color w:val="565656"/>
                <w:sz w:val="18"/>
              </w:rPr>
              <w:t>B</w:t>
            </w:r>
          </w:p>
        </w:tc>
        <w:tc>
          <w:tcPr>
            <w:tcW w:type="dxa" w:w="5616"/>
          </w:tcPr>
          <w:p>
            <w:pPr>
              <w:spacing w:after="40"/>
            </w:pPr>
            <w:r/>
            <w:r>
              <w:rPr>
                <w:rFonts w:ascii="Calibri" w:hAnsi="Calibri"/>
                <w:color w:val="565656"/>
                <w:sz w:val="18"/>
              </w:rPr>
              <w:t>Notice actually served, in days</w:t>
            </w:r>
          </w:p>
        </w:tc>
        <w:tc>
          <w:tcPr>
            <w:tcW w:type="dxa" w:w="1584"/>
          </w:tcPr>
          <w:p>
            <w:pPr>
              <w:spacing w:after="40"/>
            </w:pPr>
            <w:r/>
            <w:r>
              <w:rPr>
                <w:rFonts w:ascii="Calibri" w:hAnsi="Calibri"/>
                <w:color w:val="565656"/>
                <w:sz w:val="18"/>
              </w:rPr>
              <w:t>20</w:t>
            </w:r>
          </w:p>
        </w:tc>
        <w:tc>
          <w:tcPr>
            <w:tcW w:type="dxa" w:w="1728"/>
          </w:tcPr>
          <w:p>
            <w:pPr>
              <w:spacing w:after="40"/>
            </w:pPr>
            <w:r/>
            <w:r>
              <w:rPr>
                <w:rFonts w:ascii="Calibri" w:hAnsi="Calibri"/>
                <w:color w:val="565656"/>
                <w:sz w:val="18"/>
              </w:rPr>
            </w:r>
          </w:p>
        </w:tc>
      </w:tr>
      <w:tr>
        <w:tc>
          <w:tcPr>
            <w:tcW w:type="dxa" w:w="720"/>
          </w:tcPr>
          <w:p>
            <w:pPr>
              <w:spacing w:after="40"/>
            </w:pPr>
            <w:r/>
            <w:r>
              <w:rPr>
                <w:rFonts w:ascii="Calibri" w:hAnsi="Calibri"/>
                <w:color w:val="565656"/>
                <w:sz w:val="18"/>
              </w:rPr>
              <w:t>C</w:t>
            </w:r>
          </w:p>
        </w:tc>
        <w:tc>
          <w:tcPr>
            <w:tcW w:type="dxa" w:w="5616"/>
          </w:tcPr>
          <w:p>
            <w:pPr>
              <w:spacing w:after="40"/>
            </w:pPr>
            <w:r/>
            <w:r>
              <w:rPr>
                <w:rFonts w:ascii="Calibri" w:hAnsi="Calibri"/>
                <w:color w:val="565656"/>
                <w:sz w:val="18"/>
              </w:rPr>
              <w:t>Days waived in writing</w:t>
            </w:r>
          </w:p>
        </w:tc>
        <w:tc>
          <w:tcPr>
            <w:tcW w:type="dxa" w:w="1584"/>
          </w:tcPr>
          <w:p>
            <w:pPr>
              <w:spacing w:after="40"/>
            </w:pPr>
            <w:r/>
            <w:r>
              <w:rPr>
                <w:rFonts w:ascii="Calibri" w:hAnsi="Calibri"/>
                <w:color w:val="565656"/>
                <w:sz w:val="18"/>
              </w:rPr>
              <w:t>0</w:t>
            </w:r>
          </w:p>
        </w:tc>
        <w:tc>
          <w:tcPr>
            <w:tcW w:type="dxa" w:w="1728"/>
          </w:tcPr>
          <w:p>
            <w:pPr>
              <w:spacing w:after="40"/>
            </w:pPr>
            <w:r/>
            <w:r>
              <w:rPr>
                <w:rFonts w:ascii="Calibri" w:hAnsi="Calibri"/>
                <w:color w:val="565656"/>
                <w:sz w:val="18"/>
              </w:rPr>
            </w:r>
          </w:p>
        </w:tc>
      </w:tr>
      <w:tr>
        <w:tc>
          <w:tcPr>
            <w:tcW w:type="dxa" w:w="720"/>
          </w:tcPr>
          <w:p>
            <w:pPr>
              <w:spacing w:after="40"/>
            </w:pPr>
            <w:r/>
            <w:r>
              <w:rPr>
                <w:rFonts w:ascii="Calibri" w:hAnsi="Calibri"/>
                <w:color w:val="565656"/>
                <w:sz w:val="18"/>
              </w:rPr>
              <w:t>D</w:t>
            </w:r>
          </w:p>
        </w:tc>
        <w:tc>
          <w:tcPr>
            <w:tcW w:type="dxa" w:w="5616"/>
          </w:tcPr>
          <w:p>
            <w:pPr>
              <w:spacing w:after="40"/>
            </w:pPr>
            <w:r/>
            <w:r>
              <w:rPr>
                <w:rFonts w:ascii="Calibri" w:hAnsi="Calibri"/>
                <w:color w:val="565656"/>
                <w:sz w:val="18"/>
              </w:rPr>
              <w:t>Days unserved: A less B less C</w:t>
            </w:r>
          </w:p>
        </w:tc>
        <w:tc>
          <w:tcPr>
            <w:tcW w:type="dxa" w:w="1584"/>
          </w:tcPr>
          <w:p>
            <w:pPr>
              <w:spacing w:after="40"/>
            </w:pPr>
            <w:r/>
            <w:r>
              <w:rPr>
                <w:rFonts w:ascii="Calibri" w:hAnsi="Calibri"/>
                <w:color w:val="565656"/>
                <w:sz w:val="18"/>
              </w:rPr>
              <w:t>40</w:t>
            </w:r>
          </w:p>
        </w:tc>
        <w:tc>
          <w:tcPr>
            <w:tcW w:type="dxa" w:w="1728"/>
          </w:tcPr>
          <w:p>
            <w:pPr>
              <w:spacing w:after="40"/>
            </w:pPr>
            <w:r/>
            <w:r>
              <w:rPr>
                <w:rFonts w:ascii="Calibri" w:hAnsi="Calibri"/>
                <w:color w:val="565656"/>
                <w:sz w:val="18"/>
              </w:rPr>
            </w:r>
          </w:p>
        </w:tc>
      </w:tr>
      <w:tr>
        <w:tc>
          <w:tcPr>
            <w:tcW w:type="dxa" w:w="720"/>
          </w:tcPr>
          <w:p>
            <w:pPr>
              <w:spacing w:after="40"/>
            </w:pPr>
            <w:r/>
            <w:r>
              <w:rPr>
                <w:rFonts w:ascii="Calibri" w:hAnsi="Calibri"/>
                <w:color w:val="565656"/>
                <w:sz w:val="18"/>
              </w:rPr>
              <w:t>E</w:t>
            </w:r>
          </w:p>
        </w:tc>
        <w:tc>
          <w:tcPr>
            <w:tcW w:type="dxa" w:w="5616"/>
          </w:tcPr>
          <w:p>
            <w:pPr>
              <w:spacing w:after="40"/>
            </w:pPr>
            <w:r/>
            <w:r>
              <w:rPr>
                <w:rFonts w:ascii="Calibri" w:hAnsi="Calibri"/>
                <w:color w:val="565656"/>
                <w:sz w:val="18"/>
              </w:rPr>
              <w:t>Contract figure per day, as the clause defines it (₹45,000 a month divided by 30)</w:t>
            </w:r>
          </w:p>
        </w:tc>
        <w:tc>
          <w:tcPr>
            <w:tcW w:type="dxa" w:w="1584"/>
          </w:tcPr>
          <w:p>
            <w:pPr>
              <w:spacing w:after="40"/>
            </w:pPr>
            <w:r/>
            <w:r>
              <w:rPr>
                <w:rFonts w:ascii="Calibri" w:hAnsi="Calibri"/>
                <w:color w:val="565656"/>
                <w:sz w:val="18"/>
              </w:rPr>
              <w:t>₹1,500</w:t>
            </w:r>
          </w:p>
        </w:tc>
        <w:tc>
          <w:tcPr>
            <w:tcW w:type="dxa" w:w="1728"/>
          </w:tcPr>
          <w:p>
            <w:pPr>
              <w:spacing w:after="40"/>
            </w:pPr>
            <w:r/>
            <w:r>
              <w:rPr>
                <w:rFonts w:ascii="Calibri" w:hAnsi="Calibri"/>
                <w:color w:val="565656"/>
                <w:sz w:val="18"/>
              </w:rPr>
            </w:r>
          </w:p>
        </w:tc>
      </w:tr>
      <w:tr>
        <w:tc>
          <w:tcPr>
            <w:tcW w:type="dxa" w:w="720"/>
          </w:tcPr>
          <w:p>
            <w:pPr>
              <w:spacing w:after="40"/>
            </w:pPr>
            <w:r/>
            <w:r>
              <w:rPr>
                <w:rFonts w:ascii="Calibri" w:hAnsi="Calibri"/>
                <w:color w:val="565656"/>
                <w:sz w:val="18"/>
              </w:rPr>
              <w:t>F</w:t>
            </w:r>
          </w:p>
        </w:tc>
        <w:tc>
          <w:tcPr>
            <w:tcW w:type="dxa" w:w="5616"/>
          </w:tcPr>
          <w:p>
            <w:pPr>
              <w:spacing w:after="40"/>
            </w:pPr>
            <w:r/>
            <w:r>
              <w:rPr>
                <w:rFonts w:ascii="Calibri" w:hAnsi="Calibri"/>
                <w:color w:val="565656"/>
                <w:sz w:val="18"/>
              </w:rPr>
              <w:t>Ceiling of the claim: D times E</w:t>
            </w:r>
          </w:p>
        </w:tc>
        <w:tc>
          <w:tcPr>
            <w:tcW w:type="dxa" w:w="1584"/>
          </w:tcPr>
          <w:p>
            <w:pPr>
              <w:spacing w:after="40"/>
            </w:pPr>
            <w:r/>
            <w:r>
              <w:rPr>
                <w:rFonts w:ascii="Calibri" w:hAnsi="Calibri"/>
                <w:color w:val="565656"/>
                <w:sz w:val="18"/>
              </w:rPr>
              <w:t>₹60,000</w:t>
            </w:r>
          </w:p>
        </w:tc>
        <w:tc>
          <w:tcPr>
            <w:tcW w:type="dxa" w:w="1728"/>
          </w:tcPr>
          <w:p>
            <w:pPr>
              <w:spacing w:after="40"/>
            </w:pPr>
            <w:r/>
            <w:r>
              <w:rPr>
                <w:rFonts w:ascii="Calibri" w:hAnsi="Calibri"/>
                <w:color w:val="565656"/>
                <w:sz w:val="18"/>
              </w:rPr>
            </w:r>
          </w:p>
        </w:tc>
      </w:tr>
    </w:tbl>
    <w:p>
      <w:pPr>
        <w:keepNext w:val="0"/>
        <w:spacing w:after="120" w:before="0"/>
      </w:pPr>
      <w:r>
        <w:rPr>
          <w:rFonts w:ascii="Calibri" w:hAnsi="Calibri"/>
          <w:b w:val="0"/>
          <w:i w:val="0"/>
          <w:color w:val="1D1D1D"/>
          <w:sz w:val="21"/>
        </w:rPr>
      </w:r>
    </w:p>
    <w:p>
      <w:pPr>
        <w:keepNext w:val="0"/>
        <w:spacing w:after="80" w:before="0"/>
      </w:pPr>
      <w:r>
        <w:rPr>
          <w:rFonts w:ascii="Calibri" w:hAnsi="Calibri"/>
          <w:b/>
          <w:i w:val="0"/>
          <w:color w:val="1D1D1D"/>
          <w:sz w:val="20"/>
        </w:rPr>
        <w:t>Part 2.  The final wages, lines G to M. This never touches the claim.</w:t>
      </w:r>
    </w:p>
    <w:tbl>
      <w:tblPr>
        <w:tblStyle w:val="TableGrid"/>
        <w:tblW w:type="auto" w:w="0"/>
        <w:tblLook w:firstColumn="1" w:firstRow="1" w:lastColumn="0" w:lastRow="0" w:noHBand="0" w:noVBand="1" w:val="04A0"/>
      </w:tblPr>
      <w:tblGrid>
        <w:gridCol w:w="2412"/>
        <w:gridCol w:w="2412"/>
        <w:gridCol w:w="2412"/>
        <w:gridCol w:w="2412"/>
      </w:tblGrid>
      <w:tr>
        <w:tc>
          <w:tcPr>
            <w:tcW w:type="dxa" w:w="720"/>
          </w:tcPr>
          <w:p>
            <w:pPr>
              <w:spacing w:after="40"/>
              <w:shd w:val="clear" w:fill="E8F4FC"/>
            </w:pPr>
            <w:r/>
            <w:r>
              <w:rPr>
                <w:rFonts w:ascii="Calibri" w:hAnsi="Calibri"/>
                <w:b/>
                <w:color w:val="0069A4"/>
                <w:sz w:val="18"/>
              </w:rPr>
              <w:t>Line</w:t>
            </w:r>
          </w:p>
        </w:tc>
        <w:tc>
          <w:tcPr>
            <w:tcW w:type="dxa" w:w="5616"/>
          </w:tcPr>
          <w:p>
            <w:pPr>
              <w:spacing w:after="40"/>
              <w:shd w:val="clear" w:fill="E8F4FC"/>
            </w:pPr>
            <w:r/>
            <w:r>
              <w:rPr>
                <w:rFonts w:ascii="Calibri" w:hAnsi="Calibri"/>
                <w:b/>
                <w:color w:val="0069A4"/>
                <w:sz w:val="18"/>
              </w:rPr>
              <w:t>What it is</w:t>
            </w:r>
          </w:p>
        </w:tc>
        <w:tc>
          <w:tcPr>
            <w:tcW w:type="dxa" w:w="1584"/>
          </w:tcPr>
          <w:p>
            <w:pPr>
              <w:spacing w:after="40"/>
              <w:shd w:val="clear" w:fill="E8F4FC"/>
            </w:pPr>
            <w:r/>
            <w:r>
              <w:rPr>
                <w:rFonts w:ascii="Calibri" w:hAnsi="Calibri"/>
                <w:b/>
                <w:color w:val="0069A4"/>
                <w:sz w:val="18"/>
              </w:rPr>
              <w:t>Example</w:t>
            </w:r>
          </w:p>
        </w:tc>
        <w:tc>
          <w:tcPr>
            <w:tcW w:type="dxa" w:w="1728"/>
          </w:tcPr>
          <w:p>
            <w:pPr>
              <w:spacing w:after="40"/>
              <w:shd w:val="clear" w:fill="E8F4FC"/>
            </w:pPr>
            <w:r/>
            <w:r>
              <w:rPr>
                <w:rFonts w:ascii="Calibri" w:hAnsi="Calibri"/>
                <w:b/>
                <w:color w:val="0069A4"/>
                <w:sz w:val="18"/>
              </w:rPr>
              <w:t>Your figures</w:t>
            </w:r>
          </w:p>
        </w:tc>
      </w:tr>
      <w:tr>
        <w:tc>
          <w:tcPr>
            <w:tcW w:type="dxa" w:w="720"/>
          </w:tcPr>
          <w:p>
            <w:pPr>
              <w:spacing w:after="40"/>
            </w:pPr>
            <w:r/>
            <w:r>
              <w:rPr>
                <w:rFonts w:ascii="Calibri" w:hAnsi="Calibri"/>
                <w:color w:val="565656"/>
                <w:sz w:val="18"/>
              </w:rPr>
              <w:t>G</w:t>
            </w:r>
          </w:p>
        </w:tc>
        <w:tc>
          <w:tcPr>
            <w:tcW w:type="dxa" w:w="5616"/>
          </w:tcPr>
          <w:p>
            <w:pPr>
              <w:spacing w:after="40"/>
            </w:pPr>
            <w:r/>
            <w:r>
              <w:rPr>
                <w:rFonts w:ascii="Calibri" w:hAnsi="Calibri"/>
                <w:color w:val="565656"/>
                <w:sz w:val="18"/>
              </w:rPr>
              <w:t>Wages for the final wage period</w:t>
            </w:r>
          </w:p>
        </w:tc>
        <w:tc>
          <w:tcPr>
            <w:tcW w:type="dxa" w:w="1584"/>
          </w:tcPr>
          <w:p>
            <w:pPr>
              <w:spacing w:after="40"/>
            </w:pPr>
            <w:r/>
            <w:r>
              <w:rPr>
                <w:rFonts w:ascii="Calibri" w:hAnsi="Calibri"/>
                <w:color w:val="565656"/>
                <w:sz w:val="18"/>
              </w:rPr>
              <w:t>₹45,000</w:t>
            </w:r>
          </w:p>
        </w:tc>
        <w:tc>
          <w:tcPr>
            <w:tcW w:type="dxa" w:w="1728"/>
          </w:tcPr>
          <w:p>
            <w:pPr>
              <w:spacing w:after="40"/>
            </w:pPr>
            <w:r/>
            <w:r>
              <w:rPr>
                <w:rFonts w:ascii="Calibri" w:hAnsi="Calibri"/>
                <w:color w:val="565656"/>
                <w:sz w:val="18"/>
              </w:rPr>
            </w:r>
          </w:p>
        </w:tc>
      </w:tr>
      <w:tr>
        <w:tc>
          <w:tcPr>
            <w:tcW w:type="dxa" w:w="720"/>
          </w:tcPr>
          <w:p>
            <w:pPr>
              <w:spacing w:after="40"/>
            </w:pPr>
            <w:r/>
            <w:r>
              <w:rPr>
                <w:rFonts w:ascii="Calibri" w:hAnsi="Calibri"/>
                <w:color w:val="565656"/>
                <w:sz w:val="18"/>
              </w:rPr>
              <w:t>H</w:t>
            </w:r>
          </w:p>
        </w:tc>
        <w:tc>
          <w:tcPr>
            <w:tcW w:type="dxa" w:w="5616"/>
          </w:tcPr>
          <w:p>
            <w:pPr>
              <w:spacing w:after="40"/>
            </w:pPr>
            <w:r/>
            <w:r>
              <w:rPr>
                <w:rFonts w:ascii="Calibri" w:hAnsi="Calibri"/>
                <w:color w:val="565656"/>
                <w:sz w:val="18"/>
              </w:rPr>
              <w:t>Days the employee was required to work in that period</w:t>
            </w:r>
          </w:p>
        </w:tc>
        <w:tc>
          <w:tcPr>
            <w:tcW w:type="dxa" w:w="1584"/>
          </w:tcPr>
          <w:p>
            <w:pPr>
              <w:spacing w:after="40"/>
            </w:pPr>
            <w:r/>
            <w:r>
              <w:rPr>
                <w:rFonts w:ascii="Calibri" w:hAnsi="Calibri"/>
                <w:color w:val="565656"/>
                <w:sz w:val="18"/>
              </w:rPr>
              <w:t>26</w:t>
            </w:r>
          </w:p>
        </w:tc>
        <w:tc>
          <w:tcPr>
            <w:tcW w:type="dxa" w:w="1728"/>
          </w:tcPr>
          <w:p>
            <w:pPr>
              <w:spacing w:after="40"/>
            </w:pPr>
            <w:r/>
            <w:r>
              <w:rPr>
                <w:rFonts w:ascii="Calibri" w:hAnsi="Calibri"/>
                <w:color w:val="565656"/>
                <w:sz w:val="18"/>
              </w:rPr>
            </w:r>
          </w:p>
        </w:tc>
      </w:tr>
      <w:tr>
        <w:tc>
          <w:tcPr>
            <w:tcW w:type="dxa" w:w="720"/>
          </w:tcPr>
          <w:p>
            <w:pPr>
              <w:spacing w:after="40"/>
            </w:pPr>
            <w:r/>
            <w:r>
              <w:rPr>
                <w:rFonts w:ascii="Calibri" w:hAnsi="Calibri"/>
                <w:color w:val="565656"/>
                <w:sz w:val="18"/>
              </w:rPr>
              <w:t>I</w:t>
            </w:r>
          </w:p>
        </w:tc>
        <w:tc>
          <w:tcPr>
            <w:tcW w:type="dxa" w:w="5616"/>
          </w:tcPr>
          <w:p>
            <w:pPr>
              <w:spacing w:after="40"/>
            </w:pPr>
            <w:r/>
            <w:r>
              <w:rPr>
                <w:rFonts w:ascii="Calibri" w:hAnsi="Calibri"/>
                <w:color w:val="565656"/>
                <w:sz w:val="18"/>
              </w:rPr>
              <w:t>Days absent without leave while still employed on notice</w:t>
            </w:r>
          </w:p>
        </w:tc>
        <w:tc>
          <w:tcPr>
            <w:tcW w:type="dxa" w:w="1584"/>
          </w:tcPr>
          <w:p>
            <w:pPr>
              <w:spacing w:after="40"/>
            </w:pPr>
            <w:r/>
            <w:r>
              <w:rPr>
                <w:rFonts w:ascii="Calibri" w:hAnsi="Calibri"/>
                <w:color w:val="565656"/>
                <w:sz w:val="18"/>
              </w:rPr>
              <w:t>3</w:t>
            </w:r>
          </w:p>
        </w:tc>
        <w:tc>
          <w:tcPr>
            <w:tcW w:type="dxa" w:w="1728"/>
          </w:tcPr>
          <w:p>
            <w:pPr>
              <w:spacing w:after="40"/>
            </w:pPr>
            <w:r/>
            <w:r>
              <w:rPr>
                <w:rFonts w:ascii="Calibri" w:hAnsi="Calibri"/>
                <w:color w:val="565656"/>
                <w:sz w:val="18"/>
              </w:rPr>
            </w:r>
          </w:p>
        </w:tc>
      </w:tr>
      <w:tr>
        <w:tc>
          <w:tcPr>
            <w:tcW w:type="dxa" w:w="720"/>
          </w:tcPr>
          <w:p>
            <w:pPr>
              <w:spacing w:after="40"/>
            </w:pPr>
            <w:r/>
            <w:r>
              <w:rPr>
                <w:rFonts w:ascii="Calibri" w:hAnsi="Calibri"/>
                <w:color w:val="565656"/>
                <w:sz w:val="18"/>
              </w:rPr>
              <w:t>J</w:t>
            </w:r>
          </w:p>
        </w:tc>
        <w:tc>
          <w:tcPr>
            <w:tcW w:type="dxa" w:w="5616"/>
          </w:tcPr>
          <w:p>
            <w:pPr>
              <w:spacing w:after="40"/>
            </w:pPr>
            <w:r/>
            <w:r>
              <w:rPr>
                <w:rFonts w:ascii="Calibri" w:hAnsi="Calibri"/>
                <w:color w:val="565656"/>
                <w:sz w:val="18"/>
              </w:rPr>
              <w:t>Ceiling of the absence deduction: G times I divided by H</w:t>
            </w:r>
          </w:p>
        </w:tc>
        <w:tc>
          <w:tcPr>
            <w:tcW w:type="dxa" w:w="1584"/>
          </w:tcPr>
          <w:p>
            <w:pPr>
              <w:spacing w:after="40"/>
            </w:pPr>
            <w:r/>
            <w:r>
              <w:rPr>
                <w:rFonts w:ascii="Calibri" w:hAnsi="Calibri"/>
                <w:color w:val="565656"/>
                <w:sz w:val="18"/>
              </w:rPr>
              <w:t>₹5,192</w:t>
            </w:r>
          </w:p>
        </w:tc>
        <w:tc>
          <w:tcPr>
            <w:tcW w:type="dxa" w:w="1728"/>
          </w:tcPr>
          <w:p>
            <w:pPr>
              <w:spacing w:after="40"/>
            </w:pPr>
            <w:r/>
            <w:r>
              <w:rPr>
                <w:rFonts w:ascii="Calibri" w:hAnsi="Calibri"/>
                <w:color w:val="565656"/>
                <w:sz w:val="18"/>
              </w:rPr>
            </w:r>
          </w:p>
        </w:tc>
      </w:tr>
      <w:tr>
        <w:tc>
          <w:tcPr>
            <w:tcW w:type="dxa" w:w="720"/>
          </w:tcPr>
          <w:p>
            <w:pPr>
              <w:spacing w:after="40"/>
            </w:pPr>
            <w:r/>
            <w:r>
              <w:rPr>
                <w:rFonts w:ascii="Calibri" w:hAnsi="Calibri"/>
                <w:color w:val="565656"/>
                <w:sz w:val="18"/>
              </w:rPr>
              <w:t>K</w:t>
            </w:r>
          </w:p>
        </w:tc>
        <w:tc>
          <w:tcPr>
            <w:tcW w:type="dxa" w:w="5616"/>
          </w:tcPr>
          <w:p>
            <w:pPr>
              <w:spacing w:after="40"/>
            </w:pPr>
            <w:r/>
            <w:r>
              <w:rPr>
                <w:rFonts w:ascii="Calibri" w:hAnsi="Calibri"/>
                <w:color w:val="565656"/>
                <w:sz w:val="18"/>
              </w:rPr>
              <w:t>Other authorised deductions in the period: a salary advance</w:t>
            </w:r>
          </w:p>
        </w:tc>
        <w:tc>
          <w:tcPr>
            <w:tcW w:type="dxa" w:w="1584"/>
          </w:tcPr>
          <w:p>
            <w:pPr>
              <w:spacing w:after="40"/>
            </w:pPr>
            <w:r/>
            <w:r>
              <w:rPr>
                <w:rFonts w:ascii="Calibri" w:hAnsi="Calibri"/>
                <w:color w:val="565656"/>
                <w:sz w:val="18"/>
              </w:rPr>
              <w:t>₹8,000</w:t>
            </w:r>
          </w:p>
        </w:tc>
        <w:tc>
          <w:tcPr>
            <w:tcW w:type="dxa" w:w="1728"/>
          </w:tcPr>
          <w:p>
            <w:pPr>
              <w:spacing w:after="40"/>
            </w:pPr>
            <w:r/>
            <w:r>
              <w:rPr>
                <w:rFonts w:ascii="Calibri" w:hAnsi="Calibri"/>
                <w:color w:val="565656"/>
                <w:sz w:val="18"/>
              </w:rPr>
            </w:r>
          </w:p>
        </w:tc>
      </w:tr>
      <w:tr>
        <w:tc>
          <w:tcPr>
            <w:tcW w:type="dxa" w:w="720"/>
          </w:tcPr>
          <w:p>
            <w:pPr>
              <w:spacing w:after="40"/>
            </w:pPr>
            <w:r/>
            <w:r>
              <w:rPr>
                <w:rFonts w:ascii="Calibri" w:hAnsi="Calibri"/>
                <w:color w:val="565656"/>
                <w:sz w:val="18"/>
              </w:rPr>
              <w:t>L</w:t>
            </w:r>
          </w:p>
        </w:tc>
        <w:tc>
          <w:tcPr>
            <w:tcW w:type="dxa" w:w="5616"/>
          </w:tcPr>
          <w:p>
            <w:pPr>
              <w:spacing w:after="40"/>
            </w:pPr>
            <w:r/>
            <w:r>
              <w:rPr>
                <w:rFonts w:ascii="Calibri" w:hAnsi="Calibri"/>
                <w:color w:val="565656"/>
                <w:sz w:val="18"/>
              </w:rPr>
              <w:t>Total deductions: J plus K, which must not exceed half of G</w:t>
            </w:r>
          </w:p>
        </w:tc>
        <w:tc>
          <w:tcPr>
            <w:tcW w:type="dxa" w:w="1584"/>
          </w:tcPr>
          <w:p>
            <w:pPr>
              <w:spacing w:after="40"/>
            </w:pPr>
            <w:r/>
            <w:r>
              <w:rPr>
                <w:rFonts w:ascii="Calibri" w:hAnsi="Calibri"/>
                <w:color w:val="565656"/>
                <w:sz w:val="18"/>
              </w:rPr>
              <w:t>₹13,192</w:t>
            </w:r>
          </w:p>
        </w:tc>
        <w:tc>
          <w:tcPr>
            <w:tcW w:type="dxa" w:w="1728"/>
          </w:tcPr>
          <w:p>
            <w:pPr>
              <w:spacing w:after="40"/>
            </w:pPr>
            <w:r/>
            <w:r>
              <w:rPr>
                <w:rFonts w:ascii="Calibri" w:hAnsi="Calibri"/>
                <w:color w:val="565656"/>
                <w:sz w:val="18"/>
              </w:rPr>
            </w:r>
          </w:p>
        </w:tc>
      </w:tr>
      <w:tr>
        <w:tc>
          <w:tcPr>
            <w:tcW w:type="dxa" w:w="720"/>
          </w:tcPr>
          <w:p>
            <w:pPr>
              <w:spacing w:after="40"/>
            </w:pPr>
            <w:r/>
            <w:r>
              <w:rPr>
                <w:rFonts w:ascii="Calibri" w:hAnsi="Calibri"/>
                <w:color w:val="565656"/>
                <w:sz w:val="18"/>
              </w:rPr>
              <w:t>M</w:t>
            </w:r>
          </w:p>
        </w:tc>
        <w:tc>
          <w:tcPr>
            <w:tcW w:type="dxa" w:w="5616"/>
          </w:tcPr>
          <w:p>
            <w:pPr>
              <w:spacing w:after="40"/>
            </w:pPr>
            <w:r/>
            <w:r>
              <w:rPr>
                <w:rFonts w:ascii="Calibri" w:hAnsi="Calibri"/>
                <w:color w:val="565656"/>
                <w:sz w:val="18"/>
              </w:rPr>
              <w:t>Paid within two working days, before tax and provident fund: G less L</w:t>
            </w:r>
          </w:p>
        </w:tc>
        <w:tc>
          <w:tcPr>
            <w:tcW w:type="dxa" w:w="1584"/>
          </w:tcPr>
          <w:p>
            <w:pPr>
              <w:spacing w:after="40"/>
            </w:pPr>
            <w:r/>
            <w:r>
              <w:rPr>
                <w:rFonts w:ascii="Calibri" w:hAnsi="Calibri"/>
                <w:color w:val="565656"/>
                <w:sz w:val="18"/>
              </w:rPr>
              <w:t>₹31,808</w:t>
            </w:r>
          </w:p>
        </w:tc>
        <w:tc>
          <w:tcPr>
            <w:tcW w:type="dxa" w:w="1728"/>
          </w:tcPr>
          <w:p>
            <w:pPr>
              <w:spacing w:after="40"/>
            </w:pPr>
            <w:r/>
            <w:r>
              <w:rPr>
                <w:rFonts w:ascii="Calibri" w:hAnsi="Calibri"/>
                <w:color w:val="565656"/>
                <w:sz w:val="18"/>
              </w:rPr>
            </w:r>
          </w:p>
        </w:tc>
      </w:tr>
    </w:tbl>
    <w:p>
      <w:pPr>
        <w:keepNext w:val="0"/>
        <w:spacing w:after="120" w:before="0"/>
      </w:pPr>
      <w:r>
        <w:rPr>
          <w:rFonts w:ascii="Calibri" w:hAnsi="Calibri"/>
          <w:b w:val="0"/>
          <w:i w:val="0"/>
          <w:color w:val="1D1D1D"/>
          <w:sz w:val="21"/>
        </w:rPr>
      </w:r>
    </w:p>
    <w:p>
      <w:pPr>
        <w:keepNext w:val="0"/>
        <w:spacing w:after="120" w:before="0"/>
      </w:pPr>
      <w:r>
        <w:rPr>
          <w:rFonts w:ascii="Calibri" w:hAnsi="Calibri"/>
          <w:b w:val="0"/>
          <w:i/>
          <w:color w:val="565656"/>
          <w:sz w:val="18"/>
        </w:rPr>
        <w:t>Lines A to F are the contract claim and never touch the payroll. Lines G to M are the payroll and never touch the claim. Line J is a ceiling: dividing by more days than H deducts less and is lawful; dividing by fewer is not. If the salary includes components the Code does not count as wages, work line G on wages as section 2(y) defines them.</w:t>
      </w:r>
    </w:p>
    <w:p>
      <w:r>
        <w:br w:type="page"/>
      </w:r>
    </w:p>
    <w:p>
      <w:pPr>
        <w:pStyle w:val="Heading1"/>
        <w:keepNext/>
        <w:spacing w:after="200" w:before="80"/>
        <w:ind w:left="115"/>
        <w:shd w:val="clear" w:fill="0069A4"/>
      </w:pPr>
      <w:r>
        <w:rPr>
          <w:rFonts w:ascii="Calibri" w:hAnsi="Calibri"/>
          <w:b/>
          <w:color w:val="FFFFFF"/>
          <w:sz w:val="20"/>
        </w:rPr>
        <w:t>FORMAT 06  ·  DEMAND FOR COMPENSATION FOR UNSERVED NOTICE</w:t>
      </w:r>
    </w:p>
    <w:p>
      <w:pPr>
        <w:keepNext w:val="0"/>
        <w:spacing w:after="160" w:before="0"/>
        <w:ind w:left="144"/>
        <w:shd w:val="clear" w:fill="F4FAFE"/>
      </w:pPr>
      <w:r>
        <w:rPr>
          <w:rFonts w:ascii="Calibri" w:hAnsi="Calibri"/>
          <w:b w:val="0"/>
          <w:i/>
          <w:color w:val="565656"/>
          <w:sz w:val="18"/>
        </w:rPr>
        <w:t>Claim reasonable compensation, up to the contract figure and not automatically that figure. Say what the loss was, give a period to reply, and keep the service certificate out of it. The Explanation to section 73 counts the means you had of remedying the loss, so a quick replacement lowers what is reasonable. Whether the Explanation to section 18(1) reaches a payment by a former employee is unanswered; this route keeps furthest from it, because nothing is taken while they are employed.</w:t>
      </w:r>
    </w:p>
    <w:p>
      <w:pPr>
        <w:keepNext w:val="0"/>
        <w:spacing w:after="200" w:before="0"/>
      </w:pPr>
      <w:r>
        <w:rPr>
          <w:rFonts w:ascii="Calibri" w:hAnsi="Calibri"/>
          <w:b w:val="0"/>
          <w:i w:val="0"/>
          <w:color w:val="565656"/>
          <w:sz w:val="18"/>
        </w:rPr>
        <w:t>[COMPANY LETTERHEAD]</w:t>
      </w:r>
    </w:p>
    <w:p>
      <w:pPr>
        <w:keepNext w:val="0"/>
        <w:spacing w:after="160" w:before="0"/>
      </w:pPr>
      <w:r>
        <w:rPr>
          <w:rFonts w:ascii="Calibri" w:hAnsi="Calibri"/>
          <w:b w:val="0"/>
          <w:i w:val="0"/>
          <w:color w:val="1D1D1D"/>
          <w:sz w:val="19"/>
        </w:rPr>
        <w:t>Ref: [REFERENCE NO.]                    Date: [DD-MMM-YYYY]</w:t>
      </w:r>
    </w:p>
    <w:p>
      <w:pPr>
        <w:keepNext w:val="0"/>
        <w:spacing w:after="120" w:before="0"/>
      </w:pPr>
      <w:r>
        <w:rPr>
          <w:rFonts w:ascii="Calibri" w:hAnsi="Calibri"/>
          <w:b w:val="0"/>
          <w:i w:val="0"/>
          <w:color w:val="1D1D1D"/>
          <w:sz w:val="20"/>
        </w:rPr>
        <w:t>To: [FORMER EMPLOYEE NAME], [ADDRESS]</w:t>
      </w:r>
    </w:p>
    <w:p>
      <w:pPr>
        <w:keepNext w:val="0"/>
        <w:spacing w:after="120" w:before="0"/>
      </w:pPr>
      <w:r>
        <w:rPr>
          <w:rFonts w:ascii="Calibri" w:hAnsi="Calibri"/>
          <w:b w:val="0"/>
          <w:i w:val="0"/>
          <w:color w:val="1D1D1D"/>
          <w:sz w:val="20"/>
        </w:rPr>
        <w:t>Subject: Compensation for notice not served</w:t>
      </w:r>
    </w:p>
    <w:p>
      <w:pPr>
        <w:keepNext w:val="0"/>
        <w:spacing w:after="120" w:before="0"/>
      </w:pPr>
      <w:r>
        <w:rPr>
          <w:rFonts w:ascii="Calibri" w:hAnsi="Calibri"/>
          <w:b w:val="0"/>
          <w:i w:val="0"/>
          <w:color w:val="1D1D1D"/>
          <w:sz w:val="20"/>
        </w:rPr>
        <w:t>Dear [NAME],</w:t>
      </w:r>
    </w:p>
    <w:p>
      <w:pPr>
        <w:keepNext w:val="0"/>
        <w:spacing w:after="120" w:before="0"/>
      </w:pPr>
      <w:r>
        <w:rPr>
          <w:rFonts w:ascii="Calibri" w:hAnsi="Calibri"/>
          <w:b w:val="0"/>
          <w:i w:val="0"/>
          <w:color w:val="1D1D1D"/>
          <w:sz w:val="20"/>
        </w:rPr>
        <w:t>Your employment as [DESIGNATION] ended on [DD-MMM-YYYY]. Your wages and other dues of ₹[AMOUNT] were paid in full on [DD-MMM-YYYY], with the statement enclosed.</w:t>
      </w:r>
    </w:p>
    <w:p>
      <w:pPr>
        <w:keepNext w:val="0"/>
        <w:spacing w:after="120" w:before="0"/>
      </w:pPr>
      <w:r>
        <w:rPr>
          <w:rFonts w:ascii="Calibri" w:hAnsi="Calibri"/>
          <w:b w:val="0"/>
          <w:i w:val="0"/>
          <w:color w:val="1D1D1D"/>
          <w:sz w:val="20"/>
        </w:rPr>
        <w:t>Clause [NUMBER] of your letter of appointment required [NUMBER] days' notice. You served [NUMBER] days and no waiver was given for the remaining [NUMBER] days.</w:t>
      </w:r>
    </w:p>
    <w:p>
      <w:pPr>
        <w:keepNext w:val="0"/>
        <w:spacing w:after="120" w:before="0"/>
      </w:pPr>
      <w:r>
        <w:rPr>
          <w:rFonts w:ascii="Calibri" w:hAnsi="Calibri"/>
          <w:b w:val="0"/>
          <w:i w:val="0"/>
          <w:color w:val="1D1D1D"/>
          <w:sz w:val="20"/>
        </w:rPr>
        <w:t>The shortfall caused the Company the following loss: [DESCRIBE IT, FOR EXAMPLE THE COST OF TEMPORARY COVER, OVERTIME PAID TO COLLEAGUES, OR A RECRUITMENT FEE, WITH THE AMOUNTS]. The Company claims ₹[AMOUNT] as reasonable compensation, which is within the figure of ₹[CEILING] that clause [NUMBER] names.</w:t>
      </w:r>
    </w:p>
    <w:p>
      <w:pPr>
        <w:keepNext w:val="0"/>
        <w:spacing w:after="120" w:before="0"/>
      </w:pPr>
      <w:r>
        <w:rPr>
          <w:rFonts w:ascii="Calibri" w:hAnsi="Calibri"/>
          <w:b w:val="0"/>
          <w:i w:val="0"/>
          <w:color w:val="1D1D1D"/>
          <w:sz w:val="20"/>
        </w:rPr>
        <w:t>Please pay that amount, or send us your response, within [NUMBER] days of this letter. Your service certificate and relieving letter have been issued and do not depend on this claim.</w:t>
      </w:r>
    </w:p>
    <w:p>
      <w:pPr>
        <w:keepNext w:val="0"/>
        <w:spacing w:after="120" w:before="0"/>
      </w:pPr>
      <w:r>
        <w:rPr>
          <w:rFonts w:ascii="Calibri" w:hAnsi="Calibri"/>
          <w:b w:val="0"/>
          <w:i w:val="0"/>
          <w:color w:val="1D1D1D"/>
          <w:sz w:val="21"/>
        </w:rPr>
      </w:r>
    </w:p>
    <w:p>
      <w:pPr>
        <w:keepNext w:val="0"/>
        <w:spacing w:after="320" w:before="0"/>
      </w:pPr>
      <w:r>
        <w:rPr>
          <w:rFonts w:ascii="Calibri" w:hAnsi="Calibri"/>
          <w:b w:val="0"/>
          <w:i w:val="0"/>
          <w:color w:val="1D1D1D"/>
          <w:sz w:val="20"/>
        </w:rPr>
        <w:t>For [COMPANY NAME]</w:t>
      </w:r>
    </w:p>
    <w:p>
      <w:pPr>
        <w:keepNext w:val="0"/>
        <w:spacing w:after="200" w:before="0"/>
      </w:pPr>
      <w:r>
        <w:rPr>
          <w:rFonts w:ascii="Calibri" w:hAnsi="Calibri"/>
          <w:b/>
          <w:i w:val="0"/>
          <w:color w:val="1D1D1D"/>
          <w:sz w:val="20"/>
        </w:rPr>
        <w:t>[NAME], [DESIGNATION]</w:t>
      </w:r>
    </w:p>
    <w:p>
      <w:pPr>
        <w:spacing w:after="160" w:before="160"/>
        <w:pBdr>
          <w:bottom w:val="single" w:sz="6" w:space="1" w:color="D1EAF9"/>
        </w:pBdr>
      </w:pPr>
    </w:p>
    <w:p>
      <w:pPr>
        <w:keepNext w:val="0"/>
        <w:spacing w:after="80" w:before="0"/>
      </w:pPr>
      <w:r>
        <w:rPr>
          <w:rFonts w:ascii="Calibri" w:hAnsi="Calibri"/>
          <w:b w:val="0"/>
          <w:i/>
          <w:color w:val="565656"/>
          <w:sz w:val="18"/>
        </w:rPr>
        <w:t>Sent by [REGISTERED POST / EMAIL] to the last known address on [DD-MMM-YYYY]. Proof of dispatch kept on file.</w:t>
      </w:r>
    </w:p>
    <w:p>
      <w:r>
        <w:br w:type="page"/>
      </w:r>
    </w:p>
    <w:p>
      <w:pPr>
        <w:pStyle w:val="Heading1"/>
        <w:keepNext/>
        <w:spacing w:after="200" w:before="80"/>
        <w:ind w:left="115"/>
        <w:shd w:val="clear" w:fill="008CDB"/>
      </w:pPr>
      <w:r>
        <w:rPr>
          <w:rFonts w:ascii="Calibri" w:hAnsi="Calibri"/>
          <w:b/>
          <w:color w:val="FFFFFF"/>
          <w:sz w:val="22"/>
        </w:rPr>
        <w:t>8.  SEVEN MISTAKES EMPLOYERS MAKE</w:t>
      </w:r>
    </w:p>
    <w:p>
      <w:pPr>
        <w:pStyle w:val="Heading2"/>
        <w:keepNext/>
        <w:spacing w:after="60" w:before="160"/>
      </w:pPr>
      <w:r>
        <w:rPr>
          <w:rFonts w:ascii="Calibri" w:hAnsi="Calibri"/>
          <w:b/>
          <w:color w:val="1D1D1D"/>
          <w:sz w:val="21"/>
        </w:rPr>
        <w:t>1.  Netting the shortfall off the settlement</w:t>
      </w:r>
    </w:p>
    <w:p>
      <w:pPr>
        <w:keepNext w:val="0"/>
        <w:spacing w:after="80" w:before="0"/>
        <w:ind w:left="288"/>
      </w:pPr>
      <w:r>
        <w:rPr>
          <w:rFonts w:ascii="Calibri" w:hAnsi="Calibri"/>
          <w:b w:val="0"/>
          <w:i w:val="0"/>
          <w:color w:val="565656"/>
          <w:sz w:val="20"/>
        </w:rPr>
        <w:t>A common one. Section 18(2) has no entry for it, so the netted amount is an unauthorised deduction. The employee can claim it back within three years under section 45, and the authority may add compensation of up to ten times the amount determined.</w:t>
      </w:r>
    </w:p>
    <w:p>
      <w:pPr>
        <w:pStyle w:val="Heading2"/>
        <w:keepNext/>
        <w:spacing w:after="60" w:before="160"/>
      </w:pPr>
      <w:r>
        <w:rPr>
          <w:rFonts w:ascii="Calibri" w:hAnsi="Calibri"/>
          <w:b/>
          <w:color w:val="1D1D1D"/>
          <w:sz w:val="21"/>
        </w:rPr>
        <w:t>2.  Reading the fifty per cent cap as permission</w:t>
      </w:r>
    </w:p>
    <w:p>
      <w:pPr>
        <w:keepNext w:val="0"/>
        <w:spacing w:after="80" w:before="0"/>
        <w:ind w:left="288"/>
      </w:pPr>
      <w:r>
        <w:rPr>
          <w:rFonts w:ascii="Calibri" w:hAnsi="Calibri"/>
          <w:b w:val="0"/>
          <w:i w:val="0"/>
          <w:color w:val="565656"/>
          <w:sz w:val="20"/>
        </w:rPr>
        <w:t>Section 18(3) caps the total of deductions made UNDER SUB-SECTION (2) at fifty per cent of the wages for the period. It limits deductions the Code already allows. It does not authorise one the Code does not, however small.</w:t>
      </w:r>
    </w:p>
    <w:p>
      <w:pPr>
        <w:pStyle w:val="Heading2"/>
        <w:keepNext/>
        <w:spacing w:after="60" w:before="160"/>
      </w:pPr>
      <w:r>
        <w:rPr>
          <w:rFonts w:ascii="Calibri" w:hAnsi="Calibri"/>
          <w:b/>
          <w:color w:val="1D1D1D"/>
          <w:sz w:val="21"/>
        </w:rPr>
        <w:t>3.  Relying on a deduction clause in the contract</w:t>
      </w:r>
    </w:p>
    <w:p>
      <w:pPr>
        <w:keepNext w:val="0"/>
        <w:spacing w:after="80" w:before="0"/>
        <w:ind w:left="288"/>
      </w:pPr>
      <w:r>
        <w:rPr>
          <w:rFonts w:ascii="Calibri" w:hAnsi="Calibri"/>
          <w:b w:val="0"/>
          <w:i w:val="0"/>
          <w:color w:val="565656"/>
          <w:sz w:val="20"/>
        </w:rPr>
        <w:t>A clause saying the company may adjust any dues against the final settlement does not widen section 18(2). Section 18(1) applies notwithstanding any other law, and section 60 makes an agreement that reduces what the Code makes payable void to that extent.</w:t>
      </w:r>
    </w:p>
    <w:p>
      <w:pPr>
        <w:pStyle w:val="Heading2"/>
        <w:keepNext/>
        <w:spacing w:after="60" w:before="160"/>
      </w:pPr>
      <w:r>
        <w:rPr>
          <w:rFonts w:ascii="Calibri" w:hAnsi="Calibri"/>
          <w:b/>
          <w:color w:val="1D1D1D"/>
          <w:sz w:val="21"/>
        </w:rPr>
        <w:t>4.  Holding the settlement until it is resolved</w:t>
      </w:r>
    </w:p>
    <w:p>
      <w:pPr>
        <w:keepNext w:val="0"/>
        <w:spacing w:after="80" w:before="0"/>
        <w:ind w:left="288"/>
      </w:pPr>
      <w:r>
        <w:rPr>
          <w:rFonts w:ascii="Calibri" w:hAnsi="Calibri"/>
          <w:b w:val="0"/>
          <w:i w:val="0"/>
          <w:color w:val="565656"/>
          <w:sz w:val="20"/>
        </w:rPr>
        <w:t>Section 17(2) gives two working days, whether or not anything is in dispute. A settlement held for a month while the notice is argued is late as well as short, and paying late is a contravention in its own right: section 54(1)(c) carries a fine of up to twenty thousand rupees for it, on top of anything under section 54(1)(a) for the shortfall.</w:t>
      </w:r>
    </w:p>
    <w:p>
      <w:pPr>
        <w:pStyle w:val="Heading2"/>
        <w:keepNext/>
        <w:spacing w:after="60" w:before="160"/>
      </w:pPr>
      <w:r>
        <w:rPr>
          <w:rFonts w:ascii="Calibri" w:hAnsi="Calibri"/>
          <w:b/>
          <w:color w:val="1D1D1D"/>
          <w:sz w:val="21"/>
        </w:rPr>
        <w:t>5.  Treating gratuity as security</w:t>
      </w:r>
    </w:p>
    <w:p>
      <w:pPr>
        <w:keepNext w:val="0"/>
        <w:spacing w:after="80" w:before="0"/>
        <w:ind w:left="288"/>
      </w:pPr>
      <w:r>
        <w:rPr>
          <w:rFonts w:ascii="Calibri" w:hAnsi="Calibri"/>
          <w:b w:val="0"/>
          <w:i w:val="0"/>
          <w:color w:val="565656"/>
          <w:sz w:val="20"/>
        </w:rPr>
        <w:t>Section 53(6) of the Social Security Code forfeits gratuity on three grounds only, each tied to a termination for that conduct. A short notice is none of them.</w:t>
      </w:r>
    </w:p>
    <w:p>
      <w:pPr>
        <w:pStyle w:val="Heading2"/>
        <w:keepNext/>
        <w:spacing w:after="60" w:before="160"/>
      </w:pPr>
      <w:r>
        <w:rPr>
          <w:rFonts w:ascii="Calibri" w:hAnsi="Calibri"/>
          <w:b/>
          <w:color w:val="1D1D1D"/>
          <w:sz w:val="21"/>
        </w:rPr>
        <w:t>6.  Confusing absence with a short notice</w:t>
      </w:r>
    </w:p>
    <w:p>
      <w:pPr>
        <w:keepNext w:val="0"/>
        <w:spacing w:after="80" w:before="0"/>
        <w:ind w:left="288"/>
      </w:pPr>
      <w:r>
        <w:rPr>
          <w:rFonts w:ascii="Calibri" w:hAnsi="Calibri"/>
          <w:b w:val="0"/>
          <w:i w:val="0"/>
          <w:color w:val="565656"/>
          <w:sz w:val="20"/>
        </w:rPr>
        <w:t>Days the employee stayed away without leave while still employed on notice are absence, and section 18(2)(b) allows that deduction, capped by section 20(2) at the proportion of the days the employee was required to work. Days after the last working day are not absence, because there is no longer a place they are required to work.</w:t>
      </w:r>
    </w:p>
    <w:p>
      <w:pPr>
        <w:pStyle w:val="Heading2"/>
        <w:keepNext/>
        <w:spacing w:after="60" w:before="160"/>
      </w:pPr>
      <w:r>
        <w:rPr>
          <w:rFonts w:ascii="Calibri" w:hAnsi="Calibri"/>
          <w:b/>
          <w:color w:val="1D1D1D"/>
          <w:sz w:val="21"/>
        </w:rPr>
        <w:t>7.  Withholding the service certificate to force payment</w:t>
      </w:r>
    </w:p>
    <w:p>
      <w:pPr>
        <w:keepNext w:val="0"/>
        <w:spacing w:after="80" w:before="0"/>
        <w:ind w:left="288"/>
      </w:pPr>
      <w:r>
        <w:rPr>
          <w:rFonts w:ascii="Calibri" w:hAnsi="Calibri"/>
          <w:b w:val="0"/>
          <w:i w:val="0"/>
          <w:color w:val="565656"/>
          <w:sz w:val="20"/>
        </w:rPr>
        <w:t>Where the model standing orders apply, every worker is entitled to a service certificate within ten days of resignation, and nothing in the clause makes it conditional on a notice dispute. Holding it back turns your claim into their grievance.</w:t>
      </w:r>
    </w:p>
    <w:p>
      <w:r>
        <w:br w:type="page"/>
      </w:r>
    </w:p>
    <w:p>
      <w:pPr>
        <w:pStyle w:val="Heading1"/>
        <w:keepNext/>
        <w:spacing w:after="200" w:before="80"/>
        <w:ind w:left="115"/>
        <w:shd w:val="clear" w:fill="008CDB"/>
      </w:pPr>
      <w:r>
        <w:rPr>
          <w:rFonts w:ascii="Calibri" w:hAnsi="Calibri"/>
          <w:b/>
          <w:color w:val="FFFFFF"/>
          <w:sz w:val="22"/>
        </w:rPr>
        <w:t>9.  TWELVE CHECKS, AND WHERE EVERY LINE COMES FROM</w:t>
      </w:r>
    </w:p>
    <w:p>
      <w:pPr>
        <w:keepNext w:val="0"/>
        <w:spacing w:after="120" w:before="0"/>
      </w:pPr>
      <w:r>
        <w:rPr>
          <w:rFonts w:ascii="Calibri" w:hAnsi="Calibri"/>
          <w:b/>
          <w:i w:val="0"/>
          <w:color w:val="1D1D1D"/>
          <w:sz w:val="20"/>
        </w:rPr>
        <w:t>Twelve checks before a settlement goes out</w:t>
      </w:r>
    </w:p>
    <w:p>
      <w:pPr>
        <w:keepNext w:val="0"/>
        <w:spacing w:after="60" w:before="0"/>
        <w:ind w:left="216"/>
      </w:pPr>
      <w:r>
        <w:rPr>
          <w:rFonts w:ascii="Calibri" w:hAnsi="Calibri"/>
          <w:b w:val="0"/>
          <w:i w:val="0"/>
          <w:color w:val="565656"/>
          <w:sz w:val="19"/>
        </w:rPr>
        <w:t>☐   The last working day is fixed in writing on the day it is agreed.</w:t>
      </w:r>
    </w:p>
    <w:p>
      <w:pPr>
        <w:keepNext w:val="0"/>
        <w:spacing w:after="60" w:before="0"/>
        <w:ind w:left="216"/>
      </w:pPr>
      <w:r>
        <w:rPr>
          <w:rFonts w:ascii="Calibri" w:hAnsi="Calibri"/>
          <w:b w:val="0"/>
          <w:i w:val="0"/>
          <w:color w:val="565656"/>
          <w:sz w:val="19"/>
        </w:rPr>
        <w:t>☐   Notice served is counted in days against the figure in the contract.</w:t>
      </w:r>
    </w:p>
    <w:p>
      <w:pPr>
        <w:keepNext w:val="0"/>
        <w:spacing w:after="60" w:before="0"/>
        <w:ind w:left="216"/>
      </w:pPr>
      <w:r>
        <w:rPr>
          <w:rFonts w:ascii="Calibri" w:hAnsi="Calibri"/>
          <w:b w:val="0"/>
          <w:i w:val="0"/>
          <w:color w:val="565656"/>
          <w:sz w:val="19"/>
        </w:rPr>
        <w:t>☐   Any waiver is given in writing before the last working day.</w:t>
      </w:r>
    </w:p>
    <w:p>
      <w:pPr>
        <w:keepNext w:val="0"/>
        <w:spacing w:after="60" w:before="0"/>
        <w:ind w:left="216"/>
      </w:pPr>
      <w:r>
        <w:rPr>
          <w:rFonts w:ascii="Calibri" w:hAnsi="Calibri"/>
          <w:b w:val="0"/>
          <w:i w:val="0"/>
          <w:color w:val="565656"/>
          <w:sz w:val="19"/>
        </w:rPr>
        <w:t>☐   Absence while on notice is counted separately, against the days the employee was required to work.</w:t>
      </w:r>
    </w:p>
    <w:p>
      <w:pPr>
        <w:keepNext w:val="0"/>
        <w:spacing w:after="60" w:before="0"/>
        <w:ind w:left="216"/>
      </w:pPr>
      <w:r>
        <w:rPr>
          <w:rFonts w:ascii="Calibri" w:hAnsi="Calibri"/>
          <w:b w:val="0"/>
          <w:i w:val="0"/>
          <w:color w:val="565656"/>
          <w:sz w:val="19"/>
        </w:rPr>
        <w:t>☐   Every deduction on the statement names its clause of section 18(2).</w:t>
      </w:r>
    </w:p>
    <w:p>
      <w:pPr>
        <w:keepNext w:val="0"/>
        <w:spacing w:after="60" w:before="0"/>
        <w:ind w:left="216"/>
      </w:pPr>
      <w:r>
        <w:rPr>
          <w:rFonts w:ascii="Calibri" w:hAnsi="Calibri"/>
          <w:b w:val="0"/>
          <w:i w:val="0"/>
          <w:color w:val="565656"/>
          <w:sz w:val="19"/>
        </w:rPr>
        <w:t>☐   Total deductions are within fifty per cent of the wages for the period.</w:t>
      </w:r>
    </w:p>
    <w:p>
      <w:pPr>
        <w:keepNext w:val="0"/>
        <w:spacing w:after="60" w:before="0"/>
        <w:ind w:left="216"/>
      </w:pPr>
      <w:r>
        <w:rPr>
          <w:rFonts w:ascii="Calibri" w:hAnsi="Calibri"/>
          <w:b w:val="0"/>
          <w:i w:val="0"/>
          <w:color w:val="565656"/>
          <w:sz w:val="19"/>
        </w:rPr>
        <w:t>☐   There is no line for the notice shortfall among the deductions.</w:t>
      </w:r>
    </w:p>
    <w:p>
      <w:pPr>
        <w:keepNext w:val="0"/>
        <w:spacing w:after="60" w:before="0"/>
        <w:ind w:left="216"/>
      </w:pPr>
      <w:r>
        <w:rPr>
          <w:rFonts w:ascii="Calibri" w:hAnsi="Calibri"/>
          <w:b w:val="0"/>
          <w:i w:val="0"/>
          <w:color w:val="565656"/>
          <w:sz w:val="19"/>
        </w:rPr>
        <w:t>☐   The settlement is paid within two working days.</w:t>
      </w:r>
    </w:p>
    <w:p>
      <w:pPr>
        <w:keepNext w:val="0"/>
        <w:spacing w:after="60" w:before="0"/>
        <w:ind w:left="216"/>
      </w:pPr>
      <w:r>
        <w:rPr>
          <w:rFonts w:ascii="Calibri" w:hAnsi="Calibri"/>
          <w:b w:val="0"/>
          <w:i w:val="0"/>
          <w:color w:val="565656"/>
          <w:sz w:val="19"/>
        </w:rPr>
        <w:t>☐   Gratuity, where it is due, is paid without set-off against the notice claim.</w:t>
      </w:r>
    </w:p>
    <w:p>
      <w:pPr>
        <w:keepNext w:val="0"/>
        <w:spacing w:after="60" w:before="0"/>
        <w:ind w:left="216"/>
      </w:pPr>
      <w:r>
        <w:rPr>
          <w:rFonts w:ascii="Calibri" w:hAnsi="Calibri"/>
          <w:b w:val="0"/>
          <w:i w:val="0"/>
          <w:color w:val="565656"/>
          <w:sz w:val="19"/>
        </w:rPr>
        <w:t>☐   Where the model standing orders apply, the service certificate issues within ten days.</w:t>
      </w:r>
    </w:p>
    <w:p>
      <w:pPr>
        <w:keepNext w:val="0"/>
        <w:spacing w:after="60" w:before="0"/>
        <w:ind w:left="216"/>
      </w:pPr>
      <w:r>
        <w:rPr>
          <w:rFonts w:ascii="Calibri" w:hAnsi="Calibri"/>
          <w:b w:val="0"/>
          <w:i w:val="0"/>
          <w:color w:val="565656"/>
          <w:sz w:val="19"/>
        </w:rPr>
        <w:t>☐   The demand goes out only after the settlement is paid, and claims reasonable compensation within the contract figure.</w:t>
      </w:r>
    </w:p>
    <w:p>
      <w:pPr>
        <w:keepNext w:val="0"/>
        <w:spacing w:after="60" w:before="0"/>
        <w:ind w:left="216"/>
      </w:pPr>
      <w:r>
        <w:rPr>
          <w:rFonts w:ascii="Calibri" w:hAnsi="Calibri"/>
          <w:b w:val="0"/>
          <w:i w:val="0"/>
          <w:color w:val="565656"/>
          <w:sz w:val="19"/>
        </w:rPr>
        <w:t>☐   No payment is taken from a serving employee towards a buyout.</w:t>
      </w:r>
    </w:p>
    <w:p>
      <w:pPr>
        <w:keepNext w:val="0"/>
        <w:spacing w:after="200" w:before="0"/>
      </w:pPr>
      <w:r>
        <w:rPr>
          <w:rFonts w:ascii="Calibri" w:hAnsi="Calibri"/>
          <w:b w:val="0"/>
          <w:i w:val="0"/>
          <w:color w:val="1D1D1D"/>
          <w:sz w:val="21"/>
        </w:rPr>
      </w:r>
    </w:p>
    <w:tbl>
      <w:tblPr>
        <w:tblStyle w:val="TableGrid"/>
        <w:tblW w:type="auto" w:w="0"/>
        <w:tblLook w:firstColumn="1" w:firstRow="1" w:lastColumn="0" w:lastRow="0" w:noHBand="0" w:noVBand="1" w:val="04A0"/>
      </w:tblPr>
      <w:tblGrid>
        <w:gridCol w:w="3216"/>
        <w:gridCol w:w="3216"/>
        <w:gridCol w:w="3216"/>
      </w:tblGrid>
      <w:tr>
        <w:tc>
          <w:tcPr>
            <w:tcW w:type="dxa" w:w="4464"/>
          </w:tcPr>
          <w:p>
            <w:pPr>
              <w:spacing w:after="40"/>
              <w:shd w:val="clear" w:fill="E8F4FC"/>
            </w:pPr>
            <w:r/>
            <w:r>
              <w:rPr>
                <w:rFonts w:ascii="Calibri" w:hAnsi="Calibri"/>
                <w:b/>
                <w:color w:val="0069A4"/>
                <w:sz w:val="18"/>
              </w:rPr>
              <w:t>What this pack says</w:t>
            </w:r>
          </w:p>
        </w:tc>
        <w:tc>
          <w:tcPr>
            <w:tcW w:type="dxa" w:w="2880"/>
          </w:tcPr>
          <w:p>
            <w:pPr>
              <w:spacing w:after="40"/>
              <w:shd w:val="clear" w:fill="E8F4FC"/>
            </w:pPr>
            <w:r/>
            <w:r>
              <w:rPr>
                <w:rFonts w:ascii="Calibri" w:hAnsi="Calibri"/>
                <w:b/>
                <w:color w:val="0069A4"/>
                <w:sz w:val="18"/>
              </w:rPr>
              <w:t>Source</w:t>
            </w:r>
          </w:p>
        </w:tc>
        <w:tc>
          <w:tcPr>
            <w:tcW w:type="dxa" w:w="2160"/>
          </w:tcPr>
          <w:p>
            <w:pPr>
              <w:spacing w:after="40"/>
              <w:shd w:val="clear" w:fill="E8F4FC"/>
            </w:pPr>
            <w:r/>
            <w:r>
              <w:rPr>
                <w:rFonts w:ascii="Calibri" w:hAnsi="Calibri"/>
                <w:b/>
                <w:color w:val="0069A4"/>
                <w:sz w:val="18"/>
              </w:rPr>
              <w:t>Provision</w:t>
            </w:r>
          </w:p>
        </w:tc>
      </w:tr>
      <w:tr>
        <w:tc>
          <w:tcPr>
            <w:tcW w:type="dxa" w:w="4464"/>
          </w:tcPr>
          <w:p>
            <w:pPr>
              <w:spacing w:after="40"/>
            </w:pPr>
            <w:r/>
            <w:r>
              <w:rPr>
                <w:rFonts w:ascii="Calibri" w:hAnsi="Calibri"/>
                <w:color w:val="565656"/>
                <w:sz w:val="18"/>
              </w:rPr>
              <w:t>No deduction from wages except those the Code authorises, notwithstanding any other law</w:t>
            </w:r>
          </w:p>
        </w:tc>
        <w:tc>
          <w:tcPr>
            <w:tcW w:type="dxa" w:w="2880"/>
          </w:tcPr>
          <w:p>
            <w:pPr>
              <w:spacing w:after="40"/>
            </w:pPr>
            <w:r/>
            <w:r>
              <w:rPr>
                <w:rFonts w:ascii="Calibri" w:hAnsi="Calibri"/>
                <w:color w:val="565656"/>
                <w:sz w:val="18"/>
              </w:rPr>
              <w:t>Code on Wages, 2019</w:t>
            </w:r>
          </w:p>
        </w:tc>
        <w:tc>
          <w:tcPr>
            <w:tcW w:type="dxa" w:w="2160"/>
          </w:tcPr>
          <w:p>
            <w:pPr>
              <w:spacing w:after="40"/>
            </w:pPr>
            <w:r/>
            <w:r>
              <w:rPr>
                <w:rFonts w:ascii="Calibri" w:hAnsi="Calibri"/>
                <w:color w:val="565656"/>
                <w:sz w:val="18"/>
              </w:rPr>
              <w:t>s.18(1)</w:t>
            </w:r>
          </w:p>
        </w:tc>
      </w:tr>
      <w:tr>
        <w:tc>
          <w:tcPr>
            <w:tcW w:type="dxa" w:w="4464"/>
          </w:tcPr>
          <w:p>
            <w:pPr>
              <w:spacing w:after="40"/>
            </w:pPr>
            <w:r/>
            <w:r>
              <w:rPr>
                <w:rFonts w:ascii="Calibri" w:hAnsi="Calibri"/>
                <w:color w:val="565656"/>
                <w:sz w:val="18"/>
              </w:rPr>
              <w:t>Any payment by an employee to the employer is deemed a deduction</w:t>
            </w:r>
          </w:p>
        </w:tc>
        <w:tc>
          <w:tcPr>
            <w:tcW w:type="dxa" w:w="2880"/>
          </w:tcPr>
          <w:p>
            <w:pPr>
              <w:spacing w:after="40"/>
            </w:pPr>
            <w:r/>
            <w:r>
              <w:rPr>
                <w:rFonts w:ascii="Calibri" w:hAnsi="Calibri"/>
                <w:color w:val="565656"/>
                <w:sz w:val="18"/>
              </w:rPr>
              <w:t>Code on Wages, 2019</w:t>
            </w:r>
          </w:p>
        </w:tc>
        <w:tc>
          <w:tcPr>
            <w:tcW w:type="dxa" w:w="2160"/>
          </w:tcPr>
          <w:p>
            <w:pPr>
              <w:spacing w:after="40"/>
            </w:pPr>
            <w:r/>
            <w:r>
              <w:rPr>
                <w:rFonts w:ascii="Calibri" w:hAnsi="Calibri"/>
                <w:color w:val="565656"/>
                <w:sz w:val="18"/>
              </w:rPr>
              <w:t>s.18(1), Explanation, clause (a)</w:t>
            </w:r>
          </w:p>
        </w:tc>
      </w:tr>
      <w:tr>
        <w:tc>
          <w:tcPr>
            <w:tcW w:type="dxa" w:w="4464"/>
          </w:tcPr>
          <w:p>
            <w:pPr>
              <w:spacing w:after="40"/>
            </w:pPr>
            <w:r/>
            <w:r>
              <w:rPr>
                <w:rFonts w:ascii="Calibri" w:hAnsi="Calibri"/>
                <w:color w:val="565656"/>
                <w:sz w:val="18"/>
              </w:rPr>
              <w:t>Deductions may be made ONLY for the purposes listed</w:t>
            </w:r>
          </w:p>
        </w:tc>
        <w:tc>
          <w:tcPr>
            <w:tcW w:type="dxa" w:w="2880"/>
          </w:tcPr>
          <w:p>
            <w:pPr>
              <w:spacing w:after="40"/>
            </w:pPr>
            <w:r/>
            <w:r>
              <w:rPr>
                <w:rFonts w:ascii="Calibri" w:hAnsi="Calibri"/>
                <w:color w:val="565656"/>
                <w:sz w:val="18"/>
              </w:rPr>
              <w:t>Code on Wages, 2019</w:t>
            </w:r>
          </w:p>
        </w:tc>
        <w:tc>
          <w:tcPr>
            <w:tcW w:type="dxa" w:w="2160"/>
          </w:tcPr>
          <w:p>
            <w:pPr>
              <w:spacing w:after="40"/>
            </w:pPr>
            <w:r/>
            <w:r>
              <w:rPr>
                <w:rFonts w:ascii="Calibri" w:hAnsi="Calibri"/>
                <w:color w:val="565656"/>
                <w:sz w:val="18"/>
              </w:rPr>
              <w:t>s.18(2), clauses (a) to (o)</w:t>
            </w:r>
          </w:p>
        </w:tc>
      </w:tr>
      <w:tr>
        <w:tc>
          <w:tcPr>
            <w:tcW w:type="dxa" w:w="4464"/>
          </w:tcPr>
          <w:p>
            <w:pPr>
              <w:spacing w:after="40"/>
            </w:pPr>
            <w:r/>
            <w:r>
              <w:rPr>
                <w:rFonts w:ascii="Calibri" w:hAnsi="Calibri"/>
                <w:color w:val="565656"/>
                <w:sz w:val="18"/>
              </w:rPr>
              <w:t>Advances, and adjustment of overpayment of wages</w:t>
            </w:r>
          </w:p>
        </w:tc>
        <w:tc>
          <w:tcPr>
            <w:tcW w:type="dxa" w:w="2880"/>
          </w:tcPr>
          <w:p>
            <w:pPr>
              <w:spacing w:after="40"/>
            </w:pPr>
            <w:r/>
            <w:r>
              <w:rPr>
                <w:rFonts w:ascii="Calibri" w:hAnsi="Calibri"/>
                <w:color w:val="565656"/>
                <w:sz w:val="18"/>
              </w:rPr>
              <w:t>Code on Wages, 2019</w:t>
            </w:r>
          </w:p>
        </w:tc>
        <w:tc>
          <w:tcPr>
            <w:tcW w:type="dxa" w:w="2160"/>
          </w:tcPr>
          <w:p>
            <w:pPr>
              <w:spacing w:after="40"/>
            </w:pPr>
            <w:r/>
            <w:r>
              <w:rPr>
                <w:rFonts w:ascii="Calibri" w:hAnsi="Calibri"/>
                <w:color w:val="565656"/>
                <w:sz w:val="18"/>
              </w:rPr>
              <w:t>s.18(2)(f)(i)</w:t>
            </w:r>
          </w:p>
        </w:tc>
      </w:tr>
      <w:tr>
        <w:tc>
          <w:tcPr>
            <w:tcW w:type="dxa" w:w="4464"/>
          </w:tcPr>
          <w:p>
            <w:pPr>
              <w:spacing w:after="40"/>
            </w:pPr>
            <w:r/>
            <w:r>
              <w:rPr>
                <w:rFonts w:ascii="Calibri" w:hAnsi="Calibri"/>
                <w:color w:val="565656"/>
                <w:sz w:val="18"/>
              </w:rPr>
              <w:t>Absence from duty, and only from the place he is required to work</w:t>
            </w:r>
          </w:p>
        </w:tc>
        <w:tc>
          <w:tcPr>
            <w:tcW w:type="dxa" w:w="2880"/>
          </w:tcPr>
          <w:p>
            <w:pPr>
              <w:spacing w:after="40"/>
            </w:pPr>
            <w:r/>
            <w:r>
              <w:rPr>
                <w:rFonts w:ascii="Calibri" w:hAnsi="Calibri"/>
                <w:color w:val="565656"/>
                <w:sz w:val="18"/>
              </w:rPr>
              <w:t>Code on Wages, 2019</w:t>
            </w:r>
          </w:p>
        </w:tc>
        <w:tc>
          <w:tcPr>
            <w:tcW w:type="dxa" w:w="2160"/>
          </w:tcPr>
          <w:p>
            <w:pPr>
              <w:spacing w:after="40"/>
            </w:pPr>
            <w:r/>
            <w:r>
              <w:rPr>
                <w:rFonts w:ascii="Calibri" w:hAnsi="Calibri"/>
                <w:color w:val="565656"/>
                <w:sz w:val="18"/>
              </w:rPr>
              <w:t>s.18(2)(b) with s.20(1)</w:t>
            </w:r>
          </w:p>
        </w:tc>
      </w:tr>
      <w:tr>
        <w:tc>
          <w:tcPr>
            <w:tcW w:type="dxa" w:w="4464"/>
          </w:tcPr>
          <w:p>
            <w:pPr>
              <w:spacing w:after="40"/>
            </w:pPr>
            <w:r/>
            <w:r>
              <w:rPr>
                <w:rFonts w:ascii="Calibri" w:hAnsi="Calibri"/>
                <w:color w:val="565656"/>
                <w:sz w:val="18"/>
              </w:rPr>
              <w:t>The absence deduction is capped at the proportion of the days he was required to work</w:t>
            </w:r>
          </w:p>
        </w:tc>
        <w:tc>
          <w:tcPr>
            <w:tcW w:type="dxa" w:w="2880"/>
          </w:tcPr>
          <w:p>
            <w:pPr>
              <w:spacing w:after="40"/>
            </w:pPr>
            <w:r/>
            <w:r>
              <w:rPr>
                <w:rFonts w:ascii="Calibri" w:hAnsi="Calibri"/>
                <w:color w:val="565656"/>
                <w:sz w:val="18"/>
              </w:rPr>
              <w:t>Code on Wages, 2019</w:t>
            </w:r>
          </w:p>
        </w:tc>
        <w:tc>
          <w:tcPr>
            <w:tcW w:type="dxa" w:w="2160"/>
          </w:tcPr>
          <w:p>
            <w:pPr>
              <w:spacing w:after="40"/>
            </w:pPr>
            <w:r/>
            <w:r>
              <w:rPr>
                <w:rFonts w:ascii="Calibri" w:hAnsi="Calibri"/>
                <w:color w:val="565656"/>
                <w:sz w:val="18"/>
              </w:rPr>
              <w:t>s.20(2)</w:t>
            </w:r>
          </w:p>
        </w:tc>
      </w:tr>
      <w:tr>
        <w:tc>
          <w:tcPr>
            <w:tcW w:type="dxa" w:w="4464"/>
          </w:tcPr>
          <w:p>
            <w:pPr>
              <w:spacing w:after="40"/>
            </w:pPr>
            <w:r/>
            <w:r>
              <w:rPr>
                <w:rFonts w:ascii="Calibri" w:hAnsi="Calibri"/>
                <w:color w:val="565656"/>
                <w:sz w:val="18"/>
              </w:rPr>
              <w:t>Ten or more in concert without due notice: up to eight days' wages in lieu of due notice</w:t>
            </w:r>
          </w:p>
        </w:tc>
        <w:tc>
          <w:tcPr>
            <w:tcW w:type="dxa" w:w="2880"/>
          </w:tcPr>
          <w:p>
            <w:pPr>
              <w:spacing w:after="40"/>
            </w:pPr>
            <w:r/>
            <w:r>
              <w:rPr>
                <w:rFonts w:ascii="Calibri" w:hAnsi="Calibri"/>
                <w:color w:val="565656"/>
                <w:sz w:val="18"/>
              </w:rPr>
              <w:t>Code on Wages, 2019</w:t>
            </w:r>
          </w:p>
        </w:tc>
        <w:tc>
          <w:tcPr>
            <w:tcW w:type="dxa" w:w="2160"/>
          </w:tcPr>
          <w:p>
            <w:pPr>
              <w:spacing w:after="40"/>
            </w:pPr>
            <w:r/>
            <w:r>
              <w:rPr>
                <w:rFonts w:ascii="Calibri" w:hAnsi="Calibri"/>
                <w:color w:val="565656"/>
                <w:sz w:val="18"/>
              </w:rPr>
              <w:t>s.20(2), proviso</w:t>
            </w:r>
          </w:p>
        </w:tc>
      </w:tr>
      <w:tr>
        <w:tc>
          <w:tcPr>
            <w:tcW w:type="dxa" w:w="4464"/>
          </w:tcPr>
          <w:p>
            <w:pPr>
              <w:spacing w:after="40"/>
            </w:pPr>
            <w:r/>
            <w:r>
              <w:rPr>
                <w:rFonts w:ascii="Calibri" w:hAnsi="Calibri"/>
                <w:color w:val="565656"/>
                <w:sz w:val="18"/>
              </w:rPr>
              <w:t>Intimation and seven days to reply before that deduction, central sphere</w:t>
            </w:r>
          </w:p>
        </w:tc>
        <w:tc>
          <w:tcPr>
            <w:tcW w:type="dxa" w:w="2880"/>
          </w:tcPr>
          <w:p>
            <w:pPr>
              <w:spacing w:after="40"/>
            </w:pPr>
            <w:r/>
            <w:r>
              <w:rPr>
                <w:rFonts w:ascii="Calibri" w:hAnsi="Calibri"/>
                <w:color w:val="565656"/>
                <w:sz w:val="18"/>
              </w:rPr>
              <w:t>Code on Wages (Central) Rules, 2026</w:t>
            </w:r>
          </w:p>
        </w:tc>
        <w:tc>
          <w:tcPr>
            <w:tcW w:type="dxa" w:w="2160"/>
          </w:tcPr>
          <w:p>
            <w:pPr>
              <w:spacing w:after="40"/>
            </w:pPr>
            <w:r/>
            <w:r>
              <w:rPr>
                <w:rFonts w:ascii="Calibri" w:hAnsi="Calibri"/>
                <w:color w:val="565656"/>
                <w:sz w:val="18"/>
              </w:rPr>
              <w:t>rule 17</w:t>
            </w:r>
          </w:p>
        </w:tc>
      </w:tr>
      <w:tr>
        <w:tc>
          <w:tcPr>
            <w:tcW w:type="dxa" w:w="4464"/>
          </w:tcPr>
          <w:p>
            <w:pPr>
              <w:spacing w:after="40"/>
            </w:pPr>
            <w:r/>
            <w:r>
              <w:rPr>
                <w:rFonts w:ascii="Calibri" w:hAnsi="Calibri"/>
                <w:color w:val="565656"/>
                <w:sz w:val="18"/>
              </w:rPr>
              <w:t>Total deductions under sub-section (2) capped at fifty per cent</w:t>
            </w:r>
          </w:p>
        </w:tc>
        <w:tc>
          <w:tcPr>
            <w:tcW w:type="dxa" w:w="2880"/>
          </w:tcPr>
          <w:p>
            <w:pPr>
              <w:spacing w:after="40"/>
            </w:pPr>
            <w:r/>
            <w:r>
              <w:rPr>
                <w:rFonts w:ascii="Calibri" w:hAnsi="Calibri"/>
                <w:color w:val="565656"/>
                <w:sz w:val="18"/>
              </w:rPr>
              <w:t>Code on Wages, 2019</w:t>
            </w:r>
          </w:p>
        </w:tc>
        <w:tc>
          <w:tcPr>
            <w:tcW w:type="dxa" w:w="2160"/>
          </w:tcPr>
          <w:p>
            <w:pPr>
              <w:spacing w:after="40"/>
            </w:pPr>
            <w:r/>
            <w:r>
              <w:rPr>
                <w:rFonts w:ascii="Calibri" w:hAnsi="Calibri"/>
                <w:color w:val="565656"/>
                <w:sz w:val="18"/>
              </w:rPr>
              <w:t>s.18(3)</w:t>
            </w:r>
          </w:p>
        </w:tc>
      </w:tr>
      <w:tr>
        <w:tc>
          <w:tcPr>
            <w:tcW w:type="dxa" w:w="4464"/>
          </w:tcPr>
          <w:p>
            <w:pPr>
              <w:spacing w:after="40"/>
            </w:pPr>
            <w:r/>
            <w:r>
              <w:rPr>
                <w:rFonts w:ascii="Calibri" w:hAnsi="Calibri"/>
                <w:color w:val="565656"/>
                <w:sz w:val="18"/>
              </w:rPr>
              <w:t>Wages paid within two working days of resignation, subject to a different limit set by the appropriate Government</w:t>
            </w:r>
          </w:p>
        </w:tc>
        <w:tc>
          <w:tcPr>
            <w:tcW w:type="dxa" w:w="2880"/>
          </w:tcPr>
          <w:p>
            <w:pPr>
              <w:spacing w:after="40"/>
            </w:pPr>
            <w:r/>
            <w:r>
              <w:rPr>
                <w:rFonts w:ascii="Calibri" w:hAnsi="Calibri"/>
                <w:color w:val="565656"/>
                <w:sz w:val="18"/>
              </w:rPr>
              <w:t>Code on Wages, 2019</w:t>
            </w:r>
          </w:p>
        </w:tc>
        <w:tc>
          <w:tcPr>
            <w:tcW w:type="dxa" w:w="2160"/>
          </w:tcPr>
          <w:p>
            <w:pPr>
              <w:spacing w:after="40"/>
            </w:pPr>
            <w:r/>
            <w:r>
              <w:rPr>
                <w:rFonts w:ascii="Calibri" w:hAnsi="Calibri"/>
                <w:color w:val="565656"/>
                <w:sz w:val="18"/>
              </w:rPr>
              <w:t>s.17(2) with s.17(3)</w:t>
            </w:r>
          </w:p>
        </w:tc>
      </w:tr>
      <w:tr>
        <w:tc>
          <w:tcPr>
            <w:tcW w:type="dxa" w:w="4464"/>
          </w:tcPr>
          <w:p>
            <w:pPr>
              <w:spacing w:after="40"/>
            </w:pPr>
            <w:r/>
            <w:r>
              <w:rPr>
                <w:rFonts w:ascii="Calibri" w:hAnsi="Calibri"/>
                <w:color w:val="565656"/>
                <w:sz w:val="18"/>
              </w:rPr>
              <w:t>Employee includes managerial and administrative work, with no ceiling</w:t>
            </w:r>
          </w:p>
        </w:tc>
        <w:tc>
          <w:tcPr>
            <w:tcW w:type="dxa" w:w="2880"/>
          </w:tcPr>
          <w:p>
            <w:pPr>
              <w:spacing w:after="40"/>
            </w:pPr>
            <w:r/>
            <w:r>
              <w:rPr>
                <w:rFonts w:ascii="Calibri" w:hAnsi="Calibri"/>
                <w:color w:val="565656"/>
                <w:sz w:val="18"/>
              </w:rPr>
              <w:t>Code on Wages, 2019</w:t>
            </w:r>
          </w:p>
        </w:tc>
        <w:tc>
          <w:tcPr>
            <w:tcW w:type="dxa" w:w="2160"/>
          </w:tcPr>
          <w:p>
            <w:pPr>
              <w:spacing w:after="40"/>
            </w:pPr>
            <w:r/>
            <w:r>
              <w:rPr>
                <w:rFonts w:ascii="Calibri" w:hAnsi="Calibri"/>
                <w:color w:val="565656"/>
                <w:sz w:val="18"/>
              </w:rPr>
              <w:t>s.2(k)</w:t>
            </w:r>
          </w:p>
        </w:tc>
      </w:tr>
      <w:tr>
        <w:tc>
          <w:tcPr>
            <w:tcW w:type="dxa" w:w="4464"/>
          </w:tcPr>
          <w:p>
            <w:pPr>
              <w:spacing w:after="40"/>
            </w:pPr>
            <w:r/>
            <w:r>
              <w:rPr>
                <w:rFonts w:ascii="Calibri" w:hAnsi="Calibri"/>
                <w:color w:val="565656"/>
                <w:sz w:val="18"/>
              </w:rPr>
              <w:t>Chapter III does not apply to Government establishments</w:t>
            </w:r>
          </w:p>
        </w:tc>
        <w:tc>
          <w:tcPr>
            <w:tcW w:type="dxa" w:w="2880"/>
          </w:tcPr>
          <w:p>
            <w:pPr>
              <w:spacing w:after="40"/>
            </w:pPr>
            <w:r/>
            <w:r>
              <w:rPr>
                <w:rFonts w:ascii="Calibri" w:hAnsi="Calibri"/>
                <w:color w:val="565656"/>
                <w:sz w:val="18"/>
              </w:rPr>
              <w:t>Code on Wages, 2019</w:t>
            </w:r>
          </w:p>
        </w:tc>
        <w:tc>
          <w:tcPr>
            <w:tcW w:type="dxa" w:w="2160"/>
          </w:tcPr>
          <w:p>
            <w:pPr>
              <w:spacing w:after="40"/>
            </w:pPr>
            <w:r/>
            <w:r>
              <w:rPr>
                <w:rFonts w:ascii="Calibri" w:hAnsi="Calibri"/>
                <w:color w:val="565656"/>
                <w:sz w:val="18"/>
              </w:rPr>
              <w:t>s.25</w:t>
            </w:r>
          </w:p>
        </w:tc>
      </w:tr>
      <w:tr>
        <w:tc>
          <w:tcPr>
            <w:tcW w:type="dxa" w:w="4464"/>
          </w:tcPr>
          <w:p>
            <w:pPr>
              <w:spacing w:after="40"/>
            </w:pPr>
            <w:r/>
            <w:r>
              <w:rPr>
                <w:rFonts w:ascii="Calibri" w:hAnsi="Calibri"/>
                <w:color w:val="565656"/>
                <w:sz w:val="18"/>
              </w:rPr>
              <w:t>An agreement reducing what the Code makes payable is void to that extent</w:t>
            </w:r>
          </w:p>
        </w:tc>
        <w:tc>
          <w:tcPr>
            <w:tcW w:type="dxa" w:w="2880"/>
          </w:tcPr>
          <w:p>
            <w:pPr>
              <w:spacing w:after="40"/>
            </w:pPr>
            <w:r/>
            <w:r>
              <w:rPr>
                <w:rFonts w:ascii="Calibri" w:hAnsi="Calibri"/>
                <w:color w:val="565656"/>
                <w:sz w:val="18"/>
              </w:rPr>
              <w:t>Code on Wages, 2019</w:t>
            </w:r>
          </w:p>
        </w:tc>
        <w:tc>
          <w:tcPr>
            <w:tcW w:type="dxa" w:w="2160"/>
          </w:tcPr>
          <w:p>
            <w:pPr>
              <w:spacing w:after="40"/>
            </w:pPr>
            <w:r/>
            <w:r>
              <w:rPr>
                <w:rFonts w:ascii="Calibri" w:hAnsi="Calibri"/>
                <w:color w:val="565656"/>
                <w:sz w:val="18"/>
              </w:rPr>
              <w:t>s.60</w:t>
            </w:r>
          </w:p>
        </w:tc>
      </w:tr>
      <w:tr>
        <w:tc>
          <w:tcPr>
            <w:tcW w:type="dxa" w:w="4464"/>
          </w:tcPr>
          <w:p>
            <w:pPr>
              <w:spacing w:after="40"/>
            </w:pPr>
            <w:r/>
            <w:r>
              <w:rPr>
                <w:rFonts w:ascii="Calibri" w:hAnsi="Calibri"/>
                <w:color w:val="565656"/>
                <w:sz w:val="18"/>
              </w:rPr>
              <w:t>A claim within three years, with compensation up to ten times</w:t>
            </w:r>
          </w:p>
        </w:tc>
        <w:tc>
          <w:tcPr>
            <w:tcW w:type="dxa" w:w="2880"/>
          </w:tcPr>
          <w:p>
            <w:pPr>
              <w:spacing w:after="40"/>
            </w:pPr>
            <w:r/>
            <w:r>
              <w:rPr>
                <w:rFonts w:ascii="Calibri" w:hAnsi="Calibri"/>
                <w:color w:val="565656"/>
                <w:sz w:val="18"/>
              </w:rPr>
              <w:t>Code on Wages, 2019</w:t>
            </w:r>
          </w:p>
        </w:tc>
        <w:tc>
          <w:tcPr>
            <w:tcW w:type="dxa" w:w="2160"/>
          </w:tcPr>
          <w:p>
            <w:pPr>
              <w:spacing w:after="40"/>
            </w:pPr>
            <w:r/>
            <w:r>
              <w:rPr>
                <w:rFonts w:ascii="Calibri" w:hAnsi="Calibri"/>
                <w:color w:val="565656"/>
                <w:sz w:val="18"/>
              </w:rPr>
              <w:t>s.45(2) and (6)</w:t>
            </w:r>
          </w:p>
        </w:tc>
      </w:tr>
      <w:tr>
        <w:tc>
          <w:tcPr>
            <w:tcW w:type="dxa" w:w="4464"/>
          </w:tcPr>
          <w:p>
            <w:pPr>
              <w:spacing w:after="40"/>
            </w:pPr>
            <w:r/>
            <w:r>
              <w:rPr>
                <w:rFonts w:ascii="Calibri" w:hAnsi="Calibri"/>
                <w:color w:val="565656"/>
                <w:sz w:val="18"/>
              </w:rPr>
              <w:t>Paying less than is due: a fine of up to fifty thousand rupees; any other contravention, such as paying late, up to twenty thousand</w:t>
            </w:r>
          </w:p>
        </w:tc>
        <w:tc>
          <w:tcPr>
            <w:tcW w:type="dxa" w:w="2880"/>
          </w:tcPr>
          <w:p>
            <w:pPr>
              <w:spacing w:after="40"/>
            </w:pPr>
            <w:r/>
            <w:r>
              <w:rPr>
                <w:rFonts w:ascii="Calibri" w:hAnsi="Calibri"/>
                <w:color w:val="565656"/>
                <w:sz w:val="18"/>
              </w:rPr>
              <w:t>Code on Wages, 2019</w:t>
            </w:r>
          </w:p>
        </w:tc>
        <w:tc>
          <w:tcPr>
            <w:tcW w:type="dxa" w:w="2160"/>
          </w:tcPr>
          <w:p>
            <w:pPr>
              <w:spacing w:after="40"/>
            </w:pPr>
            <w:r/>
            <w:r>
              <w:rPr>
                <w:rFonts w:ascii="Calibri" w:hAnsi="Calibri"/>
                <w:color w:val="565656"/>
                <w:sz w:val="18"/>
              </w:rPr>
              <w:t>s.54(1)(a) and (c)</w:t>
            </w:r>
          </w:p>
        </w:tc>
      </w:tr>
      <w:tr>
        <w:tc>
          <w:tcPr>
            <w:tcW w:type="dxa" w:w="4464"/>
          </w:tcPr>
          <w:p>
            <w:pPr>
              <w:spacing w:after="40"/>
            </w:pPr>
            <w:r/>
            <w:r>
              <w:rPr>
                <w:rFonts w:ascii="Calibri" w:hAnsi="Calibri"/>
                <w:color w:val="565656"/>
                <w:sz w:val="18"/>
              </w:rPr>
              <w:t>Gratuity is forfeited on three grounds only, each on termination for that conduct</w:t>
            </w:r>
          </w:p>
        </w:tc>
        <w:tc>
          <w:tcPr>
            <w:tcW w:type="dxa" w:w="2880"/>
          </w:tcPr>
          <w:p>
            <w:pPr>
              <w:spacing w:after="40"/>
            </w:pPr>
            <w:r/>
            <w:r>
              <w:rPr>
                <w:rFonts w:ascii="Calibri" w:hAnsi="Calibri"/>
                <w:color w:val="565656"/>
                <w:sz w:val="18"/>
              </w:rPr>
              <w:t>Code on Social Security, 2020</w:t>
            </w:r>
          </w:p>
        </w:tc>
        <w:tc>
          <w:tcPr>
            <w:tcW w:type="dxa" w:w="2160"/>
          </w:tcPr>
          <w:p>
            <w:pPr>
              <w:spacing w:after="40"/>
            </w:pPr>
            <w:r/>
            <w:r>
              <w:rPr>
                <w:rFonts w:ascii="Calibri" w:hAnsi="Calibri"/>
                <w:color w:val="565656"/>
                <w:sz w:val="18"/>
              </w:rPr>
              <w:t>s.53(6)</w:t>
            </w:r>
          </w:p>
        </w:tc>
      </w:tr>
      <w:tr>
        <w:tc>
          <w:tcPr>
            <w:tcW w:type="dxa" w:w="4464"/>
          </w:tcPr>
          <w:p>
            <w:pPr>
              <w:spacing w:after="40"/>
            </w:pPr>
            <w:r/>
            <w:r>
              <w:rPr>
                <w:rFonts w:ascii="Calibri" w:hAnsi="Calibri"/>
                <w:color w:val="565656"/>
                <w:sz w:val="18"/>
              </w:rPr>
              <w:t>Compensation for loss arising naturally from the breach, not remote loss</w:t>
            </w:r>
          </w:p>
        </w:tc>
        <w:tc>
          <w:tcPr>
            <w:tcW w:type="dxa" w:w="2880"/>
          </w:tcPr>
          <w:p>
            <w:pPr>
              <w:spacing w:after="40"/>
            </w:pPr>
            <w:r/>
            <w:r>
              <w:rPr>
                <w:rFonts w:ascii="Calibri" w:hAnsi="Calibri"/>
                <w:color w:val="565656"/>
                <w:sz w:val="18"/>
              </w:rPr>
              <w:t>Indian Contract Act, 1872</w:t>
            </w:r>
          </w:p>
        </w:tc>
        <w:tc>
          <w:tcPr>
            <w:tcW w:type="dxa" w:w="2160"/>
          </w:tcPr>
          <w:p>
            <w:pPr>
              <w:spacing w:after="40"/>
            </w:pPr>
            <w:r/>
            <w:r>
              <w:rPr>
                <w:rFonts w:ascii="Calibri" w:hAnsi="Calibri"/>
                <w:color w:val="565656"/>
                <w:sz w:val="18"/>
              </w:rPr>
              <w:t>s.73</w:t>
            </w:r>
          </w:p>
        </w:tc>
      </w:tr>
      <w:tr>
        <w:tc>
          <w:tcPr>
            <w:tcW w:type="dxa" w:w="4464"/>
          </w:tcPr>
          <w:p>
            <w:pPr>
              <w:spacing w:after="40"/>
            </w:pPr>
            <w:r/>
            <w:r>
              <w:rPr>
                <w:rFonts w:ascii="Calibri" w:hAnsi="Calibri"/>
                <w:color w:val="565656"/>
                <w:sz w:val="18"/>
              </w:rPr>
              <w:t>Reasonable compensation not exceeding the amount named, whether or not loss is proved</w:t>
            </w:r>
          </w:p>
        </w:tc>
        <w:tc>
          <w:tcPr>
            <w:tcW w:type="dxa" w:w="2880"/>
          </w:tcPr>
          <w:p>
            <w:pPr>
              <w:spacing w:after="40"/>
            </w:pPr>
            <w:r/>
            <w:r>
              <w:rPr>
                <w:rFonts w:ascii="Calibri" w:hAnsi="Calibri"/>
                <w:color w:val="565656"/>
                <w:sz w:val="18"/>
              </w:rPr>
              <w:t>Indian Contract Act, 1872</w:t>
            </w:r>
          </w:p>
        </w:tc>
        <w:tc>
          <w:tcPr>
            <w:tcW w:type="dxa" w:w="2160"/>
          </w:tcPr>
          <w:p>
            <w:pPr>
              <w:spacing w:after="40"/>
            </w:pPr>
            <w:r/>
            <w:r>
              <w:rPr>
                <w:rFonts w:ascii="Calibri" w:hAnsi="Calibri"/>
                <w:color w:val="565656"/>
                <w:sz w:val="18"/>
              </w:rPr>
              <w:t>s.74</w:t>
            </w:r>
          </w:p>
        </w:tc>
      </w:tr>
      <w:tr>
        <w:tc>
          <w:tcPr>
            <w:tcW w:type="dxa" w:w="4464"/>
          </w:tcPr>
          <w:p>
            <w:pPr>
              <w:spacing w:after="40"/>
            </w:pPr>
            <w:r/>
            <w:r>
              <w:rPr>
                <w:rFonts w:ascii="Calibri" w:hAnsi="Calibri"/>
                <w:color w:val="565656"/>
                <w:sz w:val="18"/>
              </w:rPr>
              <w:t>Chapter IV applies at 300 or more workers, on any day of the preceding twelve months</w:t>
            </w:r>
          </w:p>
        </w:tc>
        <w:tc>
          <w:tcPr>
            <w:tcW w:type="dxa" w:w="2880"/>
          </w:tcPr>
          <w:p>
            <w:pPr>
              <w:spacing w:after="40"/>
            </w:pPr>
            <w:r/>
            <w:r>
              <w:rPr>
                <w:rFonts w:ascii="Calibri" w:hAnsi="Calibri"/>
                <w:color w:val="565656"/>
                <w:sz w:val="18"/>
              </w:rPr>
              <w:t>IR Code, 2020</w:t>
            </w:r>
          </w:p>
        </w:tc>
        <w:tc>
          <w:tcPr>
            <w:tcW w:type="dxa" w:w="2160"/>
          </w:tcPr>
          <w:p>
            <w:pPr>
              <w:spacing w:after="40"/>
            </w:pPr>
            <w:r/>
            <w:r>
              <w:rPr>
                <w:rFonts w:ascii="Calibri" w:hAnsi="Calibri"/>
                <w:color w:val="565656"/>
                <w:sz w:val="18"/>
              </w:rPr>
              <w:t>s.28(1)</w:t>
            </w:r>
          </w:p>
        </w:tc>
      </w:tr>
      <w:tr>
        <w:tc>
          <w:tcPr>
            <w:tcW w:type="dxa" w:w="4464"/>
          </w:tcPr>
          <w:p>
            <w:pPr>
              <w:spacing w:after="40"/>
            </w:pPr>
            <w:r/>
            <w:r>
              <w:rPr>
                <w:rFonts w:ascii="Calibri" w:hAnsi="Calibri"/>
                <w:color w:val="565656"/>
                <w:sz w:val="18"/>
              </w:rPr>
              <w:t>A worker excludes the mainly managerial, and supervisors above ₹18,000 a month</w:t>
            </w:r>
          </w:p>
        </w:tc>
        <w:tc>
          <w:tcPr>
            <w:tcW w:type="dxa" w:w="2880"/>
          </w:tcPr>
          <w:p>
            <w:pPr>
              <w:spacing w:after="40"/>
            </w:pPr>
            <w:r/>
            <w:r>
              <w:rPr>
                <w:rFonts w:ascii="Calibri" w:hAnsi="Calibri"/>
                <w:color w:val="565656"/>
                <w:sz w:val="18"/>
              </w:rPr>
              <w:t>IR Code, 2020</w:t>
            </w:r>
          </w:p>
        </w:tc>
        <w:tc>
          <w:tcPr>
            <w:tcW w:type="dxa" w:w="2160"/>
          </w:tcPr>
          <w:p>
            <w:pPr>
              <w:spacing w:after="40"/>
            </w:pPr>
            <w:r/>
            <w:r>
              <w:rPr>
                <w:rFonts w:ascii="Calibri" w:hAnsi="Calibri"/>
                <w:color w:val="565656"/>
                <w:sz w:val="18"/>
              </w:rPr>
              <w:t>s.2(zr)</w:t>
            </w:r>
          </w:p>
        </w:tc>
      </w:tr>
      <w:tr>
        <w:tc>
          <w:tcPr>
            <w:tcW w:type="dxa" w:w="4464"/>
          </w:tcPr>
          <w:p>
            <w:pPr>
              <w:spacing w:after="40"/>
            </w:pPr>
            <w:r/>
            <w:r>
              <w:rPr>
                <w:rFonts w:ascii="Calibri" w:hAnsi="Calibri"/>
                <w:color w:val="565656"/>
                <w:sz w:val="18"/>
              </w:rPr>
              <w:t>The employer gives a permanent worker one month's notice or wages in lieu; the orders set no notice for a worker who resigns</w:t>
            </w:r>
          </w:p>
        </w:tc>
        <w:tc>
          <w:tcPr>
            <w:tcW w:type="dxa" w:w="2880"/>
          </w:tcPr>
          <w:p>
            <w:pPr>
              <w:spacing w:after="40"/>
            </w:pPr>
            <w:r/>
            <w:r>
              <w:rPr>
                <w:rFonts w:ascii="Calibri" w:hAnsi="Calibri"/>
                <w:color w:val="565656"/>
                <w:sz w:val="18"/>
              </w:rPr>
              <w:t>Model Standing Orders, 2026</w:t>
            </w:r>
          </w:p>
        </w:tc>
        <w:tc>
          <w:tcPr>
            <w:tcW w:type="dxa" w:w="2160"/>
          </w:tcPr>
          <w:p>
            <w:pPr>
              <w:spacing w:after="40"/>
            </w:pPr>
            <w:r/>
            <w:r>
              <w:rPr>
                <w:rFonts w:ascii="Calibri" w:hAnsi="Calibri"/>
                <w:color w:val="565656"/>
                <w:sz w:val="18"/>
              </w:rPr>
              <w:t>cl.23(1) and (2) mining and services, cl.22 manufacturing</w:t>
            </w:r>
          </w:p>
        </w:tc>
      </w:tr>
      <w:tr>
        <w:tc>
          <w:tcPr>
            <w:tcW w:type="dxa" w:w="4464"/>
          </w:tcPr>
          <w:p>
            <w:pPr>
              <w:spacing w:after="40"/>
            </w:pPr>
            <w:r/>
            <w:r>
              <w:rPr>
                <w:rFonts w:ascii="Calibri" w:hAnsi="Calibri"/>
                <w:color w:val="565656"/>
                <w:sz w:val="18"/>
              </w:rPr>
              <w:t>No deduction from a worker's wages except under the Code on Wages</w:t>
            </w:r>
          </w:p>
        </w:tc>
        <w:tc>
          <w:tcPr>
            <w:tcW w:type="dxa" w:w="2880"/>
          </w:tcPr>
          <w:p>
            <w:pPr>
              <w:spacing w:after="40"/>
            </w:pPr>
            <w:r/>
            <w:r>
              <w:rPr>
                <w:rFonts w:ascii="Calibri" w:hAnsi="Calibri"/>
                <w:color w:val="565656"/>
                <w:sz w:val="18"/>
              </w:rPr>
              <w:t>Model Standing Orders, 2026</w:t>
            </w:r>
          </w:p>
        </w:tc>
        <w:tc>
          <w:tcPr>
            <w:tcW w:type="dxa" w:w="2160"/>
          </w:tcPr>
          <w:p>
            <w:pPr>
              <w:spacing w:after="40"/>
            </w:pPr>
            <w:r/>
            <w:r>
              <w:rPr>
                <w:rFonts w:ascii="Calibri" w:hAnsi="Calibri"/>
                <w:color w:val="565656"/>
                <w:sz w:val="18"/>
              </w:rPr>
              <w:t>cl.13(5) mining and services, cl.12(5) manufacturing</w:t>
            </w:r>
          </w:p>
        </w:tc>
      </w:tr>
      <w:tr>
        <w:tc>
          <w:tcPr>
            <w:tcW w:type="dxa" w:w="4464"/>
          </w:tcPr>
          <w:p>
            <w:pPr>
              <w:spacing w:after="40"/>
            </w:pPr>
            <w:r/>
            <w:r>
              <w:rPr>
                <w:rFonts w:ascii="Calibri" w:hAnsi="Calibri"/>
                <w:color w:val="565656"/>
                <w:sz w:val="18"/>
              </w:rPr>
              <w:t>A service certificate within ten days of resignation</w:t>
            </w:r>
          </w:p>
        </w:tc>
        <w:tc>
          <w:tcPr>
            <w:tcW w:type="dxa" w:w="2880"/>
          </w:tcPr>
          <w:p>
            <w:pPr>
              <w:spacing w:after="40"/>
            </w:pPr>
            <w:r/>
            <w:r>
              <w:rPr>
                <w:rFonts w:ascii="Calibri" w:hAnsi="Calibri"/>
                <w:color w:val="565656"/>
                <w:sz w:val="18"/>
              </w:rPr>
              <w:t>Model Standing Orders, 2026</w:t>
            </w:r>
          </w:p>
        </w:tc>
        <w:tc>
          <w:tcPr>
            <w:tcW w:type="dxa" w:w="2160"/>
          </w:tcPr>
          <w:p>
            <w:pPr>
              <w:spacing w:after="40"/>
            </w:pPr>
            <w:r/>
            <w:r>
              <w:rPr>
                <w:rFonts w:ascii="Calibri" w:hAnsi="Calibri"/>
                <w:color w:val="565656"/>
                <w:sz w:val="18"/>
              </w:rPr>
              <w:t>cl.14(1)(ii) mining and services, cl.13(1)(ii) manufacturing</w:t>
            </w:r>
          </w:p>
        </w:tc>
      </w:tr>
      <w:tr>
        <w:tc>
          <w:tcPr>
            <w:tcW w:type="dxa" w:w="4464"/>
          </w:tcPr>
          <w:p>
            <w:pPr>
              <w:spacing w:after="40"/>
            </w:pPr>
            <w:r/>
            <w:r>
              <w:rPr>
                <w:rFonts w:ascii="Calibri" w:hAnsi="Calibri"/>
                <w:color w:val="565656"/>
                <w:sz w:val="18"/>
              </w:rPr>
              <w:t>Salary forfeiture or a bond amount on leaving early is not taxable as consideration for tolerating an act; notice pay is not named</w:t>
            </w:r>
          </w:p>
        </w:tc>
        <w:tc>
          <w:tcPr>
            <w:tcW w:type="dxa" w:w="2880"/>
          </w:tcPr>
          <w:p>
            <w:pPr>
              <w:spacing w:after="40"/>
            </w:pPr>
            <w:r/>
            <w:r>
              <w:rPr>
                <w:rFonts w:ascii="Calibri" w:hAnsi="Calibri"/>
                <w:color w:val="565656"/>
                <w:sz w:val="18"/>
              </w:rPr>
              <w:t>CBIC Circular No. 178/10/2022-GST, 03-Aug-2022</w:t>
            </w:r>
          </w:p>
        </w:tc>
        <w:tc>
          <w:tcPr>
            <w:tcW w:type="dxa" w:w="2160"/>
          </w:tcPr>
          <w:p>
            <w:pPr>
              <w:spacing w:after="40"/>
            </w:pPr>
            <w:r/>
            <w:r>
              <w:rPr>
                <w:rFonts w:ascii="Calibri" w:hAnsi="Calibri"/>
                <w:color w:val="565656"/>
                <w:sz w:val="18"/>
              </w:rPr>
              <w:t>para 7.5</w:t>
            </w:r>
          </w:p>
        </w:tc>
      </w:tr>
    </w:tbl>
    <w:p>
      <w:pPr>
        <w:keepNext w:val="0"/>
        <w:spacing w:after="200" w:before="0"/>
      </w:pPr>
      <w:r>
        <w:rPr>
          <w:rFonts w:ascii="Calibri" w:hAnsi="Calibri"/>
          <w:b w:val="0"/>
          <w:i w:val="0"/>
          <w:color w:val="1D1D1D"/>
          <w:sz w:val="21"/>
        </w:rPr>
      </w:r>
    </w:p>
    <w:p>
      <w:pPr>
        <w:keepNext w:val="0"/>
        <w:spacing w:after="160" w:before="0"/>
      </w:pPr>
      <w:r>
        <w:rPr>
          <w:rFonts w:ascii="Calibri" w:hAnsi="Calibri"/>
          <w:b w:val="0"/>
          <w:i w:val="0"/>
          <w:color w:val="565656"/>
          <w:sz w:val="18"/>
        </w:rPr>
        <w:t>What this pack does not claim: what a State Shops and Establishments Act adds on notice, since none was read; how a court has read the Explanation to section 18(1); the income tax treatment of notice pay; and that CBIC Circular No. 178/10/2022-GST covers notice pay, since paragraph 7.5 names forfeiture of salary and bond amounts and never uses the words.</w:t>
      </w:r>
    </w:p>
    <w:p>
      <w:pPr>
        <w:keepNext w:val="0"/>
        <w:spacing w:after="120" w:before="0"/>
      </w:pPr>
      <w:r>
        <w:rPr>
          <w:rFonts w:ascii="Calibri" w:hAnsi="Calibri"/>
          <w:b w:val="0"/>
          <w:i/>
          <w:color w:val="565656"/>
          <w:sz w:val="17"/>
        </w:rPr>
        <w:t>Provided by Attendo (formerly Petpooja Payroll) for general guidance, and it is not legal advice. The Code on Wages, 2019, the Code on Social Security, 2020, the Industrial Relations Code, 2020, the Model Standing Orders, 2026, S.O. 2312(E), the Indian Contract Act, 1872 and CBIC Circular No. 178/10/2022-GST were read from official copies on 01-Oct-2026. The labour codes came into force on 21-Nov-2025. The appropriate Government may set a different time limit for payment under section 17(3). A decision of a court or authority can change what applies to you. Confirm anything contentious with your adviser before you sue.</w:t>
      </w:r>
    </w:p>
    <w:sectPr w:rsidR="00FC693F" w:rsidRPr="0006063C" w:rsidSect="00034616">
      <w:footerReference w:type="default" r:id="rId9"/>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Calibri" w:hAnsi="Calibri"/>
        <w:color w:val="8A8A8A"/>
        <w:sz w:val="15"/>
      </w:rPr>
      <w:t xml:space="preserve">Attendo (formerly Petpooja Payroll)  ·  attendohr.com  ·  Notice Period Recovery and Buyout Templates  ·  reviewed 01-Oct-2026  ·  page </w:t>
    </w:r>
    <w:r>
      <w:rPr>
        <w:rFonts w:ascii="Calibri" w:hAnsi="Calibri"/>
        <w:color w:val="8A8A8A"/>
        <w:sz w:val="15"/>
      </w:rPr>
      <w:fldChar w:fldCharType="begin"/>
    </w:r>
    <w:r>
      <w:rPr>
        <w:rFonts w:ascii="Calibri" w:hAnsi="Calibri"/>
        <w:color w:val="8A8A8A"/>
        <w:sz w:val="15"/>
      </w:rPr>
      <w:instrText xml:space="preserve"> PAGE </w:instrText>
    </w:r>
    <w:r>
      <w:rPr>
        <w:rFonts w:ascii="Calibri" w:hAnsi="Calibri"/>
        <w:color w:val="8A8A8A"/>
        <w:sz w:val="15"/>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1D1D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Period Recovery and Buyout Templates</dc:title>
  <dc:subject/>
  <dc:creator>Attendo</dc:creator>
  <cp:keywords/>
  <dc:description>Built on section 18 of the Code on Wages, 2019. Reviewed 01-Oct-2026.</dc:description>
  <cp:lastModifiedBy/>
  <cp:revision>1</cp:revision>
  <dcterms:created xsi:type="dcterms:W3CDTF">2013-12-23T23:15:00Z</dcterms:created>
  <dcterms:modified xsi:type="dcterms:W3CDTF">2013-12-23T23:15:00Z</dcterms:modified>
  <cp:category/>
</cp:coreProperties>
</file>