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0"/>
        <w:spacing w:after="40" w:before="0"/>
      </w:pPr>
      <w:r>
        <w:rPr>
          <w:rFonts w:ascii="Calibri" w:hAnsi="Calibri"/>
          <w:b/>
          <w:i w:val="0"/>
          <w:color w:val="0069A4"/>
          <w:sz w:val="18"/>
        </w:rPr>
        <w:t>Attendo (formerly Petpooja Payroll)</w:t>
      </w:r>
    </w:p>
    <w:p>
      <w:pPr>
        <w:keepNext w:val="0"/>
        <w:spacing w:after="40" w:before="0"/>
      </w:pPr>
      <w:r>
        <w:rPr>
          <w:rFonts w:ascii="Calibri" w:hAnsi="Calibri"/>
          <w:b/>
          <w:i w:val="0"/>
          <w:color w:val="1D1D1D"/>
          <w:sz w:val="40"/>
        </w:rPr>
        <w:t>Maternity Leave Policy Template</w:t>
      </w:r>
    </w:p>
    <w:p>
      <w:pPr>
        <w:keepNext w:val="0"/>
        <w:spacing w:after="200" w:before="0"/>
      </w:pPr>
      <w:r>
        <w:rPr>
          <w:rFonts w:ascii="Calibri" w:hAnsi="Calibri"/>
          <w:b w:val="0"/>
          <w:i w:val="0"/>
          <w:color w:val="565656"/>
          <w:sz w:val="22"/>
        </w:rPr>
        <w:t>India. Built from Chapter VI of the Code on Social Security, 2020, section by section, and from the Social Security (Central) Rules, 2026.</w:t>
      </w:r>
    </w:p>
    <w:p>
      <w:pPr>
        <w:spacing w:after="160" w:before="160"/>
        <w:pBdr>
          <w:bottom w:val="single" w:sz="6" w:space="1" w:color="D1EAF9"/>
        </w:pBdr>
      </w:pPr>
    </w:p>
    <w:p>
      <w:pPr>
        <w:keepNext w:val="0"/>
        <w:spacing w:after="160" w:before="0"/>
      </w:pPr>
      <w:r>
        <w:rPr>
          <w:rFonts w:ascii="Calibri" w:hAnsi="Calibri"/>
          <w:b w:val="0"/>
          <w:i w:val="0"/>
          <w:color w:val="565656"/>
          <w:sz w:val="20"/>
        </w:rPr>
        <w:t>Search for a maternity policy template and almost every one says twenty-six weeks and stops. Twenty-six weeks is section 60(3). The chapter runs from section 59 to section 72, and the rest of it is where the qualification, the money, the deadlines and the duties that are not leave at all live. This file carries the whole chapter, and the Rules made under it.</w:t>
      </w:r>
    </w:p>
    <w:p>
      <w:pPr>
        <w:spacing w:after="60"/>
      </w:pPr>
      <w:r>
        <w:rPr>
          <w:rFonts w:ascii="Calibri" w:hAnsi="Calibri"/>
          <w:b/>
          <w:color w:val="0069A4"/>
          <w:sz w:val="19"/>
        </w:rPr>
        <w:t xml:space="preserve">What is in this file  </w:t>
      </w:r>
      <w:r>
        <w:rPr>
          <w:rFonts w:ascii="Calibri" w:hAnsi="Calibri"/>
          <w:color w:val="565656"/>
          <w:sz w:val="19"/>
        </w:rPr>
        <w:t>A twenty-one clause policy, five annexures, a decision table, ten mistakes and eighteen checks.</w:t>
      </w:r>
    </w:p>
    <w:p>
      <w:pPr>
        <w:spacing w:after="60"/>
      </w:pPr>
      <w:r>
        <w:rPr>
          <w:rFonts w:ascii="Calibri" w:hAnsi="Calibri"/>
          <w:b/>
          <w:color w:val="0069A4"/>
          <w:sz w:val="19"/>
        </w:rPr>
        <w:t xml:space="preserve">Every clause names what it rests on  </w:t>
      </w:r>
      <w:r>
        <w:rPr>
          <w:rFonts w:ascii="Calibri" w:hAnsi="Calibri"/>
          <w:color w:val="565656"/>
          <w:sz w:val="19"/>
        </w:rPr>
        <w:t>So you can check us, and so you can answer a question about any line of it.</w:t>
      </w:r>
    </w:p>
    <w:p>
      <w:pPr>
        <w:spacing w:after="60"/>
      </w:pPr>
      <w:r>
        <w:rPr>
          <w:rFonts w:ascii="Calibri" w:hAnsi="Calibri"/>
          <w:b/>
          <w:color w:val="0069A4"/>
          <w:sz w:val="19"/>
        </w:rPr>
        <w:t xml:space="preserve">Placeholders  </w:t>
      </w:r>
      <w:r>
        <w:rPr>
          <w:rFonts w:ascii="Calibri" w:hAnsi="Calibri"/>
          <w:color w:val="565656"/>
          <w:sz w:val="19"/>
        </w:rPr>
        <w:t>[IN CAPITALS, IN SQUARE BRACKETS]. Each one names itself, so Find and Replace is safe. ONE EXCEPTION: Annexure C reproduces Form-XIV as gazetted, and its title carries [See rule 40(4)]. That is part of the prescribed form. Leave it alone.</w:t>
      </w:r>
    </w:p>
    <w:p>
      <w:pPr>
        <w:spacing w:after="60"/>
      </w:pPr>
      <w:r>
        <w:rPr>
          <w:rFonts w:ascii="Calibri" w:hAnsi="Calibri"/>
          <w:b/>
          <w:color w:val="0069A4"/>
          <w:sz w:val="19"/>
        </w:rPr>
        <w:t xml:space="preserve">Reviewed  </w:t>
      </w:r>
      <w:r>
        <w:rPr>
          <w:rFonts w:ascii="Calibri" w:hAnsi="Calibri"/>
          <w:color w:val="565656"/>
          <w:sz w:val="19"/>
        </w:rPr>
        <w:t>16-Sep-2026. Re-read Chapter VI and the Rules before you adopt it, because the medical bonus and the creche criteria are both 'as may be prescribed'.</w:t>
      </w:r>
    </w:p>
    <w:p>
      <w:pPr>
        <w:spacing w:after="200"/>
      </w:pPr>
      <w:r>
        <w:rPr>
          <w:rFonts w:ascii="Calibri" w:hAnsi="Calibri"/>
          <w:b/>
          <w:color w:val="0069A4"/>
          <w:sz w:val="19"/>
        </w:rPr>
        <w:t xml:space="preserve">Not legal advice  </w:t>
      </w:r>
      <w:r>
        <w:rPr>
          <w:rFonts w:ascii="Calibri" w:hAnsi="Calibri"/>
          <w:color w:val="565656"/>
          <w:sz w:val="19"/>
        </w:rPr>
        <w:t>General guidance. Confirm anything contentious with your adviser or your state labour office.</w:t>
      </w:r>
    </w:p>
    <w:p>
      <w:pPr>
        <w:keepNext/>
        <w:spacing w:after="80" w:before="0"/>
      </w:pPr>
      <w:r>
        <w:rPr>
          <w:rFonts w:ascii="Calibri" w:hAnsi="Calibri"/>
          <w:b/>
          <w:i w:val="0"/>
          <w:color w:val="1D1D1D"/>
          <w:sz w:val="22"/>
        </w:rPr>
        <w:t>Where things are</w:t>
      </w:r>
    </w:p>
    <w:p>
      <w:pPr>
        <w:keepNext w:val="0"/>
        <w:spacing w:after="100" w:before="0"/>
      </w:pPr>
      <w:r>
        <w:rPr>
          <w:rFonts w:ascii="Calibri" w:hAnsi="Calibri"/>
          <w:b w:val="0"/>
          <w:i/>
          <w:color w:val="565656"/>
          <w:sz w:val="18"/>
        </w:rPr>
        <w:t>Every heading below is in Word's navigation pane, so you can jump rather than scroll. View, then tick Navigation Pane.</w:t>
      </w:r>
    </w:p>
    <w:p>
      <w:pPr>
        <w:spacing w:after="40"/>
      </w:pPr>
      <w:r>
        <w:rPr>
          <w:rFonts w:ascii="Calibri" w:hAnsi="Calibri"/>
          <w:b/>
          <w:color w:val="0069A4"/>
          <w:sz w:val="19"/>
        </w:rPr>
        <w:t xml:space="preserve">Sections 1 to 5  </w:t>
      </w:r>
      <w:r>
        <w:rPr>
          <w:rFonts w:ascii="Calibri" w:hAnsi="Calibri"/>
          <w:color w:val="565656"/>
          <w:sz w:val="19"/>
        </w:rPr>
        <w:t>Why the headline is not the chapter, whether it reaches you, who pays, what she is paid and when, and what you may not do.</w:t>
      </w:r>
    </w:p>
    <w:p>
      <w:pPr>
        <w:spacing w:after="40"/>
      </w:pPr>
      <w:r>
        <w:rPr>
          <w:rFonts w:ascii="Calibri" w:hAnsi="Calibri"/>
          <w:b/>
          <w:color w:val="0069A4"/>
          <w:sz w:val="19"/>
        </w:rPr>
        <w:t xml:space="preserve">Section 6  </w:t>
      </w:r>
      <w:r>
        <w:rPr>
          <w:rFonts w:ascii="Calibri" w:hAnsi="Calibri"/>
          <w:color w:val="565656"/>
          <w:sz w:val="19"/>
        </w:rPr>
        <w:t>THE POLICY. Twenty-one clauses to adopt, each naming what it rests on.</w:t>
      </w:r>
    </w:p>
    <w:p>
      <w:pPr>
        <w:spacing w:after="40"/>
      </w:pPr>
      <w:r>
        <w:rPr>
          <w:rFonts w:ascii="Calibri" w:hAnsi="Calibri"/>
          <w:b/>
          <w:color w:val="0069A4"/>
          <w:sz w:val="19"/>
        </w:rPr>
        <w:t xml:space="preserve">Annexure A  </w:t>
      </w:r>
      <w:r>
        <w:rPr>
          <w:rFonts w:ascii="Calibri" w:hAnsi="Calibri"/>
          <w:color w:val="565656"/>
          <w:sz w:val="19"/>
        </w:rPr>
        <w:t>How long she gets. The decision table, seven rows.</w:t>
      </w:r>
    </w:p>
    <w:p>
      <w:pPr>
        <w:spacing w:after="40"/>
      </w:pPr>
      <w:r>
        <w:rPr>
          <w:rFonts w:ascii="Calibri" w:hAnsi="Calibri"/>
          <w:b/>
          <w:color w:val="0069A4"/>
          <w:sz w:val="19"/>
        </w:rPr>
        <w:t xml:space="preserve">Annexure B  </w:t>
      </w:r>
      <w:r>
        <w:rPr>
          <w:rFonts w:ascii="Calibri" w:hAnsi="Calibri"/>
          <w:color w:val="565656"/>
          <w:sz w:val="19"/>
        </w:rPr>
        <w:t>The letter section 67(2) makes you give her at appointment, in writing and electronically.</w:t>
      </w:r>
    </w:p>
    <w:p>
      <w:pPr>
        <w:spacing w:after="40"/>
      </w:pPr>
      <w:r>
        <w:rPr>
          <w:rFonts w:ascii="Calibri" w:hAnsi="Calibri"/>
          <w:b/>
          <w:color w:val="0069A4"/>
          <w:sz w:val="19"/>
        </w:rPr>
        <w:t xml:space="preserve">Annexure C  </w:t>
      </w:r>
      <w:r>
        <w:rPr>
          <w:rFonts w:ascii="Calibri" w:hAnsi="Calibri"/>
          <w:color w:val="565656"/>
          <w:sz w:val="19"/>
        </w:rPr>
        <w:t>Form-XIV, reproduced as gazetted, the five things it does not say, and a supplement to display beside it.</w:t>
      </w:r>
    </w:p>
    <w:p>
      <w:pPr>
        <w:spacing w:after="40"/>
      </w:pPr>
      <w:r>
        <w:rPr>
          <w:rFonts w:ascii="Calibri" w:hAnsi="Calibri"/>
          <w:b/>
          <w:color w:val="0069A4"/>
          <w:sz w:val="19"/>
        </w:rPr>
        <w:t xml:space="preserve">Annexure D  </w:t>
      </w:r>
      <w:r>
        <w:rPr>
          <w:rFonts w:ascii="Calibri" w:hAnsi="Calibri"/>
          <w:color w:val="565656"/>
          <w:sz w:val="19"/>
        </w:rPr>
        <w:t>The creche criteria under rule 37, and the proof rule 35 actually accepts.</w:t>
      </w:r>
    </w:p>
    <w:p>
      <w:pPr>
        <w:spacing w:after="40"/>
      </w:pPr>
      <w:r>
        <w:rPr>
          <w:rFonts w:ascii="Calibri" w:hAnsi="Calibri"/>
          <w:b/>
          <w:color w:val="0069A4"/>
          <w:sz w:val="19"/>
        </w:rPr>
        <w:t xml:space="preserve">Annexure E  </w:t>
      </w:r>
      <w:r>
        <w:rPr>
          <w:rFonts w:ascii="Calibri" w:hAnsi="Calibri"/>
          <w:color w:val="565656"/>
          <w:sz w:val="19"/>
        </w:rPr>
        <w:t>The Register of Women Employees in Form-XXII, twenty-three particulars, and the annual return that goes with it.</w:t>
      </w:r>
    </w:p>
    <w:p>
      <w:pPr>
        <w:spacing w:after="40"/>
      </w:pPr>
      <w:r>
        <w:rPr>
          <w:rFonts w:ascii="Calibri" w:hAnsi="Calibri"/>
          <w:b/>
          <w:color w:val="0069A4"/>
          <w:sz w:val="19"/>
        </w:rPr>
        <w:t xml:space="preserve">At the end  </w:t>
      </w:r>
      <w:r>
        <w:rPr>
          <w:rFonts w:ascii="Calibri" w:hAnsi="Calibri"/>
          <w:color w:val="565656"/>
          <w:sz w:val="19"/>
        </w:rPr>
        <w:t>Ten ways a maternity policy goes wrong, eighteen checks before you adopt this one, and what it was all read from.</w:t>
      </w:r>
    </w:p>
    <w:p>
      <w:pPr>
        <w:keepNext w:val="0"/>
        <w:spacing w:after="160" w:before="0"/>
      </w:pPr>
      <w:r>
        <w:rPr>
          <w:rFonts w:ascii="Calibri" w:hAnsi="Calibri"/>
          <w:b w:val="0"/>
          <w:i w:val="0"/>
          <w:color w:val="1D1D1D"/>
          <w:sz w:val="21"/>
        </w:rPr>
      </w:r>
    </w:p>
    <w:p>
      <w:pPr>
        <w:pStyle w:val="Heading1"/>
        <w:keepNext/>
        <w:spacing w:after="200" w:before="80"/>
        <w:ind w:left="115"/>
        <w:shd w:val="clear" w:fill="008CDB"/>
      </w:pPr>
      <w:r>
        <w:rPr>
          <w:rFonts w:ascii="Calibri" w:hAnsi="Calibri"/>
          <w:b/>
          <w:color w:val="FFFFFF"/>
          <w:sz w:val="22"/>
        </w:rPr>
        <w:t>1.  What a policy that says only twenty-six weeks is missing</w:t>
      </w:r>
    </w:p>
    <w:p>
      <w:pPr>
        <w:keepNext w:val="0"/>
        <w:spacing w:after="120" w:before="0"/>
      </w:pPr>
      <w:r>
        <w:rPr>
          <w:rFonts w:ascii="Calibri" w:hAnsi="Calibri"/>
          <w:b w:val="0"/>
          <w:i w:val="0"/>
          <w:color w:val="565656"/>
          <w:sz w:val="20"/>
        </w:rPr>
        <w:t>Read end to end, Chapter VI and the Rules made under it put roughly twenty separate duties on an employer, and several of them are not leave at all. The four below are the ones almost no policy carries, because each falls due when nothing is happening. Two more sit at clause 18 and in Annexure E, namely free copies of five prescribed forms on request under rule 40(2), and the Form-XXIII annual return every February under rule 53(5)(a).</w:t>
      </w:r>
    </w:p>
    <w:p>
      <w:pPr>
        <w:keepNext/>
        <w:spacing w:after="40" w:before="0"/>
        <w:ind w:left="216"/>
      </w:pPr>
      <w:r>
        <w:rPr>
          <w:rFonts w:ascii="Calibri" w:hAnsi="Calibri"/>
          <w:b/>
          <w:i w:val="0"/>
          <w:color w:val="1D1D1D"/>
          <w:sz w:val="20"/>
        </w:rPr>
        <w:t>Tell her at appointment, in writing AND electronically</w:t>
      </w:r>
    </w:p>
    <w:p>
      <w:pPr>
        <w:keepNext w:val="0"/>
        <w:spacing w:after="40" w:before="0"/>
        <w:ind w:left="216"/>
      </w:pPr>
      <w:r>
        <w:rPr>
          <w:rFonts w:ascii="Calibri" w:hAnsi="Calibri"/>
          <w:b w:val="0"/>
          <w:i w:val="0"/>
          <w:color w:val="565656"/>
          <w:sz w:val="19"/>
        </w:rPr>
        <w:t>Every establishment to which Chapter VI applies shall intimate in writing and electronically to every woman at the time of her initial appointment regarding every benefit available under the chapter. It is a duty owed the day she joins, not the day she is pregnant.</w:t>
      </w:r>
    </w:p>
    <w:p>
      <w:pPr>
        <w:keepNext w:val="0"/>
        <w:spacing w:after="120" w:before="0"/>
        <w:ind w:left="216"/>
      </w:pPr>
      <w:r>
        <w:rPr>
          <w:rFonts w:ascii="Calibri" w:hAnsi="Calibri"/>
          <w:b w:val="0"/>
          <w:i/>
          <w:color w:val="0069A4"/>
          <w:sz w:val="17"/>
        </w:rPr>
        <w:t>s.67(2)</w:t>
      </w:r>
    </w:p>
    <w:p>
      <w:pPr>
        <w:keepNext/>
        <w:spacing w:after="40" w:before="0"/>
        <w:ind w:left="216"/>
      </w:pPr>
      <w:r>
        <w:rPr>
          <w:rFonts w:ascii="Calibri" w:hAnsi="Calibri"/>
          <w:b/>
          <w:i w:val="0"/>
          <w:color w:val="1D1D1D"/>
          <w:sz w:val="20"/>
        </w:rPr>
        <w:t>Display Form-XIV, the prescribed abstract, in the local language</w:t>
      </w:r>
    </w:p>
    <w:p>
      <w:pPr>
        <w:keepNext w:val="0"/>
        <w:spacing w:after="40" w:before="0"/>
        <w:ind w:left="216"/>
      </w:pPr>
      <w:r>
        <w:rPr>
          <w:rFonts w:ascii="Calibri" w:hAnsi="Calibri"/>
          <w:b w:val="0"/>
          <w:i w:val="0"/>
          <w:color w:val="565656"/>
          <w:sz w:val="19"/>
        </w:rPr>
        <w:t>An abstract of the chapter and the rules shall be exhibited in a conspicuous place in every part of the establishment in which women are employed, in the language or languages of the locality. Rule 40(4) says that abstract shall be in Form-XIV, so this is a prescribed document and not one you draft. Read Annexure C before you put it up: Form-XIV never mentions twenty-six weeks.</w:t>
      </w:r>
    </w:p>
    <w:p>
      <w:pPr>
        <w:keepNext w:val="0"/>
        <w:spacing w:after="120" w:before="0"/>
        <w:ind w:left="216"/>
      </w:pPr>
      <w:r>
        <w:rPr>
          <w:rFonts w:ascii="Calibri" w:hAnsi="Calibri"/>
          <w:b w:val="0"/>
          <w:i/>
          <w:color w:val="0069A4"/>
          <w:sz w:val="17"/>
        </w:rPr>
        <w:t>s.71 with rule 40(4)</w:t>
      </w:r>
    </w:p>
    <w:p>
      <w:pPr>
        <w:keepNext/>
        <w:spacing w:after="40" w:before="0"/>
        <w:ind w:left="216"/>
      </w:pPr>
      <w:r>
        <w:rPr>
          <w:rFonts w:ascii="Calibri" w:hAnsi="Calibri"/>
          <w:b/>
          <w:i w:val="0"/>
          <w:color w:val="1D1D1D"/>
          <w:sz w:val="20"/>
        </w:rPr>
        <w:t>Keep a Register of Women Employees</w:t>
      </w:r>
    </w:p>
    <w:p>
      <w:pPr>
        <w:keepNext w:val="0"/>
        <w:spacing w:after="40" w:before="0"/>
        <w:ind w:left="216"/>
      </w:pPr>
      <w:r>
        <w:rPr>
          <w:rFonts w:ascii="Calibri" w:hAnsi="Calibri"/>
          <w:b w:val="0"/>
          <w:i w:val="0"/>
          <w:color w:val="565656"/>
          <w:sz w:val="19"/>
        </w:rPr>
        <w:t>Twenty-three fields, in Form-XXII, from the date of appointment through every proof produced and every amount paid. Rule 40(1)(c)(ii) makes it something an Inspector-cum-Facilitator looks at on every inspection, and almost no maternity policy mentions it exists.</w:t>
      </w:r>
    </w:p>
    <w:p>
      <w:pPr>
        <w:keepNext w:val="0"/>
        <w:spacing w:after="120" w:before="0"/>
        <w:ind w:left="216"/>
      </w:pPr>
      <w:r>
        <w:rPr>
          <w:rFonts w:ascii="Calibri" w:hAnsi="Calibri"/>
          <w:b w:val="0"/>
          <w:i/>
          <w:color w:val="0069A4"/>
          <w:sz w:val="17"/>
        </w:rPr>
        <w:t>rule 53(1)(a)(iv)</w:t>
      </w:r>
    </w:p>
    <w:p>
      <w:pPr>
        <w:keepNext/>
        <w:spacing w:after="40" w:before="0"/>
        <w:ind w:left="216"/>
      </w:pPr>
      <w:r>
        <w:rPr>
          <w:rFonts w:ascii="Calibri" w:hAnsi="Calibri"/>
          <w:b/>
          <w:i w:val="0"/>
          <w:color w:val="1D1D1D"/>
          <w:sz w:val="20"/>
        </w:rPr>
        <w:t>Run a creche once you have fifty employees</w:t>
      </w:r>
    </w:p>
    <w:p>
      <w:pPr>
        <w:keepNext w:val="0"/>
        <w:spacing w:after="40" w:before="0"/>
        <w:ind w:left="216"/>
      </w:pPr>
      <w:r>
        <w:rPr>
          <w:rFonts w:ascii="Calibri" w:hAnsi="Calibri"/>
          <w:b w:val="0"/>
          <w:i w:val="0"/>
          <w:color w:val="565656"/>
          <w:sz w:val="19"/>
        </w:rPr>
        <w:t>Fifty employees, not fifty women. Children under six, within one kilometre, ten square feet of floor area per child, hours matching the employees' hours, in the charge of a woman with midwifery qualification or creche attendant training. Four visits a day, and the rest intervals count inside those four.</w:t>
      </w:r>
    </w:p>
    <w:p>
      <w:pPr>
        <w:keepNext w:val="0"/>
        <w:spacing w:after="120" w:before="0"/>
        <w:ind w:left="216"/>
      </w:pPr>
      <w:r>
        <w:rPr>
          <w:rFonts w:ascii="Calibri" w:hAnsi="Calibri"/>
          <w:b w:val="0"/>
          <w:i/>
          <w:color w:val="0069A4"/>
          <w:sz w:val="17"/>
        </w:rPr>
        <w:t>s.67(1) and rule 37</w:t>
      </w:r>
    </w:p>
    <w:p>
      <w:pPr>
        <w:pStyle w:val="Heading1"/>
        <w:keepNext/>
        <w:spacing w:after="200" w:before="80"/>
        <w:ind w:left="115"/>
        <w:shd w:val="clear" w:fill="35A4E2"/>
      </w:pPr>
      <w:r>
        <w:rPr>
          <w:rFonts w:ascii="Calibri" w:hAnsi="Calibri"/>
          <w:b/>
          <w:color w:val="FFFFFF"/>
          <w:sz w:val="22"/>
        </w:rPr>
        <w:t>2.  Whether Chapter VI reaches you</w:t>
      </w:r>
    </w:p>
    <w:p>
      <w:pPr>
        <w:keepNext w:val="0"/>
        <w:spacing w:after="80" w:before="0"/>
      </w:pPr>
      <w:r>
        <w:rPr>
          <w:rFonts w:ascii="Calibri" w:hAnsi="Calibri"/>
          <w:b w:val="0"/>
          <w:i w:val="0"/>
          <w:color w:val="565656"/>
          <w:sz w:val="20"/>
        </w:rPr>
        <w:t>The threshold is in the First Schedule, against Chapter VI.</w:t>
      </w:r>
    </w:p>
    <w:p>
      <w:pPr>
        <w:spacing w:after="60"/>
      </w:pPr>
      <w:r>
        <w:rPr>
          <w:rFonts w:ascii="Calibri" w:hAnsi="Calibri"/>
          <w:b/>
          <w:color w:val="0069A4"/>
          <w:sz w:val="19"/>
        </w:rPr>
        <w:t xml:space="preserve">Every factory  </w:t>
      </w:r>
      <w:r>
        <w:rPr>
          <w:rFonts w:ascii="Calibri" w:hAnsi="Calibri"/>
          <w:color w:val="565656"/>
          <w:sz w:val="19"/>
        </w:rPr>
        <w:t>At any size. No employee threshold at all.</w:t>
      </w:r>
    </w:p>
    <w:p>
      <w:pPr>
        <w:spacing w:after="60"/>
      </w:pPr>
      <w:r>
        <w:rPr>
          <w:rFonts w:ascii="Calibri" w:hAnsi="Calibri"/>
          <w:b/>
          <w:color w:val="0069A4"/>
          <w:sz w:val="19"/>
        </w:rPr>
        <w:t xml:space="preserve">Every mine  </w:t>
      </w:r>
      <w:r>
        <w:rPr>
          <w:rFonts w:ascii="Calibri" w:hAnsi="Calibri"/>
          <w:color w:val="565656"/>
          <w:sz w:val="19"/>
        </w:rPr>
        <w:t>At any size.</w:t>
      </w:r>
    </w:p>
    <w:p>
      <w:pPr>
        <w:spacing w:after="60"/>
      </w:pPr>
      <w:r>
        <w:rPr>
          <w:rFonts w:ascii="Calibri" w:hAnsi="Calibri"/>
          <w:b/>
          <w:color w:val="0069A4"/>
          <w:sz w:val="19"/>
        </w:rPr>
        <w:t xml:space="preserve">Every plantation  </w:t>
      </w:r>
      <w:r>
        <w:rPr>
          <w:rFonts w:ascii="Calibri" w:hAnsi="Calibri"/>
          <w:color w:val="565656"/>
          <w:sz w:val="19"/>
        </w:rPr>
        <w:t>At any size.</w:t>
      </w:r>
    </w:p>
    <w:p>
      <w:pPr>
        <w:spacing w:after="60"/>
      </w:pPr>
      <w:r>
        <w:rPr>
          <w:rFonts w:ascii="Calibri" w:hAnsi="Calibri"/>
          <w:b/>
          <w:color w:val="0069A4"/>
          <w:sz w:val="19"/>
        </w:rPr>
        <w:t xml:space="preserve">Government establishments too  </w:t>
      </w:r>
      <w:r>
        <w:rPr>
          <w:rFonts w:ascii="Calibri" w:hAnsi="Calibri"/>
          <w:color w:val="565656"/>
          <w:sz w:val="19"/>
        </w:rPr>
        <w:t>The First Schedule covers a factory, mine or plantation 'including any such establishment belonging to Government'.</w:t>
      </w:r>
    </w:p>
    <w:p>
      <w:pPr>
        <w:spacing w:after="60"/>
      </w:pPr>
      <w:r>
        <w:rPr>
          <w:rFonts w:ascii="Calibri" w:hAnsi="Calibri"/>
          <w:b/>
          <w:color w:val="0069A4"/>
          <w:sz w:val="19"/>
        </w:rPr>
        <w:t xml:space="preserve">And anything else the government notifies  </w:t>
      </w:r>
      <w:r>
        <w:rPr>
          <w:rFonts w:ascii="Calibri" w:hAnsi="Calibri"/>
          <w:color w:val="565656"/>
          <w:sz w:val="19"/>
        </w:rPr>
        <w:t>The entry ends 'and such other shops or establishments notified by the appropriate Government', so your State can bring you in even if you are under ten. Check before you rely on being outside it.</w:t>
      </w:r>
    </w:p>
    <w:p>
      <w:pPr>
        <w:spacing w:after="60"/>
      </w:pPr>
      <w:r>
        <w:rPr>
          <w:rFonts w:ascii="Calibri" w:hAnsi="Calibri"/>
          <w:b/>
          <w:color w:val="0069A4"/>
          <w:sz w:val="19"/>
        </w:rPr>
        <w:t xml:space="preserve">Every shop or establishment  </w:t>
      </w:r>
      <w:r>
        <w:rPr>
          <w:rFonts w:ascii="Calibri" w:hAnsi="Calibri"/>
          <w:color w:val="565656"/>
          <w:sz w:val="19"/>
        </w:rPr>
        <w:t>Ten or more employees, or that employed ten or more on any day of the preceding twelve months.</w:t>
      </w:r>
    </w:p>
    <w:p>
      <w:pPr>
        <w:spacing w:after="60"/>
      </w:pPr>
      <w:r>
        <w:rPr>
          <w:rFonts w:ascii="Calibri" w:hAnsi="Calibri"/>
          <w:b/>
          <w:color w:val="0069A4"/>
          <w:sz w:val="19"/>
        </w:rPr>
        <w:t xml:space="preserve">Who counts as a woman  </w:t>
      </w:r>
      <w:r>
        <w:rPr>
          <w:rFonts w:ascii="Calibri" w:hAnsi="Calibri"/>
          <w:color w:val="565656"/>
          <w:sz w:val="19"/>
        </w:rPr>
        <w:t>Section 2(91): a woman employed, whether directly or through any contractor, for wages, in any establishment. Her designation is irrelevant.</w:t>
      </w:r>
    </w:p>
    <w:p>
      <w:pPr>
        <w:spacing w:after="60"/>
      </w:pPr>
      <w:r>
        <w:rPr>
          <w:rFonts w:ascii="Calibri" w:hAnsi="Calibri"/>
          <w:b/>
          <w:color w:val="0069A4"/>
          <w:sz w:val="19"/>
        </w:rPr>
        <w:t xml:space="preserve">And who the employer is  </w:t>
      </w:r>
      <w:r>
        <w:rPr>
          <w:rFonts w:ascii="Calibri" w:hAnsi="Calibri"/>
          <w:color w:val="565656"/>
          <w:sz w:val="19"/>
        </w:rPr>
        <w:t>Section 2(27): a person who employs, whether directly or THROUGH ANY PERSON, one or more employees in his establishment, and the definition expressly includes a contractor at limb (d). So where a woman is engaged through an agency the definition reaches the establishment as well, and not the agency alone.</w:t>
      </w:r>
    </w:p>
    <w:p>
      <w:pPr>
        <w:spacing w:after="60"/>
      </w:pPr>
      <w:r>
        <w:rPr>
          <w:rFonts w:ascii="Calibri" w:hAnsi="Calibri"/>
          <w:b/>
          <w:color w:val="0069A4"/>
          <w:sz w:val="19"/>
        </w:rPr>
        <w:t xml:space="preserve">Why there is no wage ceiling  </w:t>
      </w:r>
      <w:r>
        <w:rPr>
          <w:rFonts w:ascii="Calibri" w:hAnsi="Calibri"/>
          <w:color w:val="565656"/>
          <w:sz w:val="19"/>
        </w:rPr>
        <w:t>Chapter VI turns on 'woman', not on 'employee'. The wage ceiling in the proviso to section 2(26) applies only to Chapters III and IV, so it never reaches maternity benefit at all.</w:t>
      </w:r>
    </w:p>
    <w:p>
      <w:pPr>
        <w:keepNext w:val="0"/>
        <w:spacing w:after="80" w:before="0"/>
      </w:pPr>
      <w:r>
        <w:rPr>
          <w:rFonts w:ascii="Calibri" w:hAnsi="Calibri"/>
          <w:b w:val="0"/>
          <w:i w:val="0"/>
          <w:color w:val="1D1D1D"/>
          <w:sz w:val="21"/>
        </w:rPr>
      </w:r>
    </w:p>
    <w:p>
      <w:pPr>
        <w:keepNext w:val="0"/>
        <w:spacing w:after="80" w:before="0"/>
        <w:ind w:left="216"/>
      </w:pPr>
      <w:r>
        <w:rPr>
          <w:rFonts w:ascii="Calibri" w:hAnsi="Calibri"/>
          <w:b w:val="0"/>
          <w:i w:val="0"/>
          <w:color w:val="565656"/>
          <w:sz w:val="19"/>
        </w:rPr>
        <w:t>A factory, a mine or a plantation is covered at any size. Ten employees is the shop and establishment line, and it is met by having employed ten on any day of the preceding twelve months, so falling below ten does not take you out of it this year.</w:t>
      </w:r>
    </w:p>
    <w:p>
      <w:pPr>
        <w:keepNext/>
        <w:spacing w:after="40" w:before="0"/>
        <w:ind w:left="216"/>
      </w:pPr>
      <w:r>
        <w:rPr>
          <w:rFonts w:ascii="Calibri" w:hAnsi="Calibri"/>
          <w:b/>
          <w:i w:val="0"/>
          <w:color w:val="1D1D1D"/>
          <w:sz w:val="20"/>
        </w:rPr>
        <w:t>If Chapter VI does not reach you, this is still worth adopting.</w:t>
      </w:r>
    </w:p>
    <w:p>
      <w:pPr>
        <w:keepNext w:val="0"/>
        <w:spacing w:after="80" w:before="0"/>
        <w:ind w:left="216"/>
      </w:pPr>
      <w:r>
        <w:rPr>
          <w:rFonts w:ascii="Calibri" w:hAnsi="Calibri"/>
          <w:b w:val="0"/>
          <w:i w:val="0"/>
          <w:color w:val="565656"/>
          <w:sz w:val="19"/>
        </w:rPr>
        <w:t>Nothing stops an employer giving more than the law requires. Section 161(2) of the Code says in terms that nothing in it precludes a person from agreeing with his employer rights or privileges more favourable than the Code gives. Adopt this policy and it binds you as a contract rather than as a statute, which is the same thing from where the employee is standing.</w:t>
      </w:r>
    </w:p>
    <w:p>
      <w:pPr>
        <w:keepNext w:val="0"/>
        <w:spacing w:after="80" w:before="0"/>
        <w:ind w:left="216"/>
      </w:pPr>
      <w:r>
        <w:rPr>
          <w:rFonts w:ascii="Calibri" w:hAnsi="Calibri"/>
          <w:b w:val="0"/>
          <w:i w:val="0"/>
          <w:color w:val="565656"/>
          <w:sz w:val="19"/>
        </w:rPr>
        <w:t>The one practical difference: an Inspector-cum-Facilitator under section 72 has nothing to enforce, so she would be enforcing the contract instead.</w:t>
      </w:r>
    </w:p>
    <w:p>
      <w:pPr>
        <w:pStyle w:val="Heading1"/>
        <w:keepNext/>
        <w:spacing w:after="200" w:before="80"/>
        <w:ind w:left="115"/>
        <w:shd w:val="clear" w:fill="35A4E2"/>
      </w:pPr>
      <w:r>
        <w:rPr>
          <w:rFonts w:ascii="Calibri" w:hAnsi="Calibri"/>
          <w:b/>
          <w:color w:val="FFFFFF"/>
          <w:sz w:val="22"/>
        </w:rPr>
        <w:t>3.  Who pays: the two sections that pull opposite ways</w:t>
      </w:r>
    </w:p>
    <w:p>
      <w:pPr>
        <w:keepNext w:val="0"/>
        <w:spacing w:after="120" w:before="0"/>
      </w:pPr>
      <w:r>
        <w:rPr>
          <w:rFonts w:ascii="Calibri" w:hAnsi="Calibri"/>
          <w:b w:val="0"/>
          <w:i w:val="0"/>
          <w:color w:val="565656"/>
          <w:sz w:val="20"/>
        </w:rPr>
        <w:t>Section 61 and section 41(7)(b) both speak to a woman covered by the Employees' State Insurance scheme, and quoting either one on its own gets the answer wrong. Section 61 keeps her on the employer's benefit until she qualifies under the scheme. Section 41(7)(b) then says once she is eligible under Chapter IV she may not claim from the employer under Chapter VI. Rule 22(3)(a) of the Social Security (Central) Rules, 2026 supplies the trigger the whole thing turns on: contributions payable for not less than seventy days in the immediately preceding two consecutive contribution periods.</w:t>
      </w:r>
    </w:p>
    <w:tbl>
      <w:tblPr>
        <w:tblStyle w:val="TableGrid"/>
        <w:tblW w:type="auto" w:w="0"/>
        <w:tblLook w:firstColumn="1" w:firstRow="1" w:lastColumn="0" w:lastRow="0" w:noHBand="0" w:noVBand="1" w:val="04A0"/>
      </w:tblPr>
      <w:tblGrid>
        <w:gridCol w:w="3216"/>
        <w:gridCol w:w="3216"/>
        <w:gridCol w:w="3216"/>
      </w:tblGrid>
      <w:tr>
        <w:tc>
          <w:tcPr>
            <w:tcW w:type="dxa" w:w="3456"/>
            <w:shd w:val="clear" w:fill="008CDB"/>
          </w:tcPr>
          <w:p>
            <w:pPr>
              <w:spacing w:after="40" w:before="40"/>
              <w:shd w:val="clear" w:fill="008CDB"/>
            </w:pPr>
            <w:r/>
            <w:r>
              <w:rPr>
                <w:rFonts w:ascii="Calibri" w:hAnsi="Calibri"/>
                <w:b/>
                <w:color w:val="FFFFFF"/>
                <w:sz w:val="18"/>
              </w:rPr>
              <w:t>Her position</w:t>
            </w:r>
          </w:p>
        </w:tc>
        <w:tc>
          <w:tcPr>
            <w:tcW w:type="dxa" w:w="4320"/>
            <w:shd w:val="clear" w:fill="008CDB"/>
          </w:tcPr>
          <w:p>
            <w:pPr>
              <w:spacing w:after="40" w:before="40"/>
              <w:shd w:val="clear" w:fill="008CDB"/>
            </w:pPr>
            <w:r/>
            <w:r>
              <w:rPr>
                <w:rFonts w:ascii="Calibri" w:hAnsi="Calibri"/>
                <w:b/>
                <w:color w:val="FFFFFF"/>
                <w:sz w:val="18"/>
              </w:rPr>
              <w:t>Who pays</w:t>
            </w:r>
          </w:p>
        </w:tc>
        <w:tc>
          <w:tcPr>
            <w:tcW w:type="dxa" w:w="2016"/>
            <w:shd w:val="clear" w:fill="008CDB"/>
          </w:tcPr>
          <w:p>
            <w:pPr>
              <w:spacing w:after="40" w:before="40"/>
              <w:shd w:val="clear" w:fill="008CDB"/>
            </w:pPr>
            <w:r/>
            <w:r>
              <w:rPr>
                <w:rFonts w:ascii="Calibri" w:hAnsi="Calibri"/>
                <w:b/>
                <w:color w:val="FFFFFF"/>
                <w:sz w:val="18"/>
              </w:rPr>
              <w:t>Provision</w:t>
            </w:r>
          </w:p>
        </w:tc>
      </w:tr>
      <w:tr>
        <w:tc>
          <w:tcPr>
            <w:tcW w:type="dxa" w:w="3456"/>
          </w:tcPr>
          <w:p>
            <w:pPr>
              <w:spacing w:after="40" w:before="40"/>
            </w:pPr>
            <w:r/>
            <w:r>
              <w:rPr>
                <w:rFonts w:ascii="Calibri" w:hAnsi="Calibri"/>
                <w:color w:val="565656"/>
                <w:sz w:val="18"/>
              </w:rPr>
              <w:t>She is not covered by ESI at all</w:t>
            </w:r>
          </w:p>
        </w:tc>
        <w:tc>
          <w:tcPr>
            <w:tcW w:type="dxa" w:w="4320"/>
          </w:tcPr>
          <w:p>
            <w:pPr>
              <w:spacing w:after="40" w:before="40"/>
            </w:pPr>
            <w:r/>
            <w:r>
              <w:rPr>
                <w:rFonts w:ascii="Calibri" w:hAnsi="Calibri"/>
                <w:color w:val="565656"/>
                <w:sz w:val="18"/>
              </w:rPr>
              <w:t>[COMPANY NAME] pays the whole benefit under Chapter VI.</w:t>
            </w:r>
          </w:p>
        </w:tc>
        <w:tc>
          <w:tcPr>
            <w:tcW w:type="dxa" w:w="2016"/>
          </w:tcPr>
          <w:p>
            <w:pPr>
              <w:spacing w:after="40" w:before="40"/>
            </w:pPr>
            <w:r/>
            <w:r>
              <w:rPr>
                <w:rFonts w:ascii="Calibri" w:hAnsi="Calibri"/>
                <w:color w:val="565656"/>
                <w:sz w:val="18"/>
              </w:rPr>
              <w:t>s.60</w:t>
            </w:r>
          </w:p>
        </w:tc>
      </w:tr>
      <w:tr>
        <w:tc>
          <w:tcPr>
            <w:tcW w:type="dxa" w:w="3456"/>
          </w:tcPr>
          <w:p>
            <w:pPr>
              <w:spacing w:after="40" w:before="40"/>
            </w:pPr>
            <w:r/>
            <w:r>
              <w:rPr>
                <w:rFonts w:ascii="Calibri" w:hAnsi="Calibri"/>
                <w:color w:val="565656"/>
                <w:sz w:val="18"/>
              </w:rPr>
              <w:t>She is covered, but has not yet reached 70 days of contributions</w:t>
            </w:r>
          </w:p>
        </w:tc>
        <w:tc>
          <w:tcPr>
            <w:tcW w:type="dxa" w:w="4320"/>
          </w:tcPr>
          <w:p>
            <w:pPr>
              <w:spacing w:after="40" w:before="40"/>
            </w:pPr>
            <w:r/>
            <w:r>
              <w:rPr>
                <w:rFonts w:ascii="Calibri" w:hAnsi="Calibri"/>
                <w:color w:val="565656"/>
                <w:sz w:val="18"/>
              </w:rPr>
              <w:t>[COMPANY NAME] still pays, because section 61 keeps her on the employer's benefit notwithstanding Chapter IV applying, until she qualifies.</w:t>
            </w:r>
          </w:p>
        </w:tc>
        <w:tc>
          <w:tcPr>
            <w:tcW w:type="dxa" w:w="2016"/>
          </w:tcPr>
          <w:p>
            <w:pPr>
              <w:spacing w:after="40" w:before="40"/>
            </w:pPr>
            <w:r/>
            <w:r>
              <w:rPr>
                <w:rFonts w:ascii="Calibri" w:hAnsi="Calibri"/>
                <w:color w:val="565656"/>
                <w:sz w:val="18"/>
              </w:rPr>
              <w:t>s.61</w:t>
            </w:r>
          </w:p>
        </w:tc>
      </w:tr>
      <w:tr>
        <w:tc>
          <w:tcPr>
            <w:tcW w:type="dxa" w:w="3456"/>
          </w:tcPr>
          <w:p>
            <w:pPr>
              <w:spacing w:after="40" w:before="40"/>
            </w:pPr>
            <w:r/>
            <w:r>
              <w:rPr>
                <w:rFonts w:ascii="Calibri" w:hAnsi="Calibri"/>
                <w:color w:val="565656"/>
                <w:sz w:val="18"/>
              </w:rPr>
              <w:t>She is covered and has reached 70 days of contributions in the immediately preceding two consecutive contribution periods</w:t>
            </w:r>
          </w:p>
        </w:tc>
        <w:tc>
          <w:tcPr>
            <w:tcW w:type="dxa" w:w="4320"/>
          </w:tcPr>
          <w:p>
            <w:pPr>
              <w:spacing w:after="40" w:before="40"/>
            </w:pPr>
            <w:r/>
            <w:r>
              <w:rPr>
                <w:rFonts w:ascii="Calibri" w:hAnsi="Calibri"/>
                <w:color w:val="565656"/>
                <w:sz w:val="18"/>
              </w:rPr>
              <w:t>She claims from the Corporation, and may not claim from [COMPANY NAME] under Chapter VI.</w:t>
            </w:r>
          </w:p>
        </w:tc>
        <w:tc>
          <w:tcPr>
            <w:tcW w:type="dxa" w:w="2016"/>
          </w:tcPr>
          <w:p>
            <w:pPr>
              <w:spacing w:after="40" w:before="40"/>
            </w:pPr>
            <w:r/>
            <w:r>
              <w:rPr>
                <w:rFonts w:ascii="Calibri" w:hAnsi="Calibri"/>
                <w:color w:val="565656"/>
                <w:sz w:val="18"/>
              </w:rPr>
              <w:t>s.41(7)(b) with rule 22(3)(a)</w:t>
            </w:r>
          </w:p>
        </w:tc>
      </w:tr>
    </w:tbl>
    <w:p>
      <w:pPr>
        <w:spacing w:after="80"/>
      </w:pPr>
    </w:p>
    <w:p>
      <w:r>
        <w:br w:type="page"/>
      </w:r>
    </w:p>
    <w:p>
      <w:pPr>
        <w:pStyle w:val="Heading1"/>
        <w:keepNext/>
        <w:spacing w:after="200" w:before="80"/>
        <w:ind w:left="115"/>
        <w:shd w:val="clear" w:fill="35A4E2"/>
      </w:pPr>
      <w:r>
        <w:rPr>
          <w:rFonts w:ascii="Calibri" w:hAnsi="Calibri"/>
          <w:b/>
          <w:color w:val="FFFFFF"/>
          <w:sz w:val="22"/>
        </w:rPr>
        <w:t>4.  What she is paid, and when</w:t>
      </w:r>
    </w:p>
    <w:p>
      <w:pPr>
        <w:spacing w:after="60"/>
      </w:pPr>
      <w:r>
        <w:rPr>
          <w:rFonts w:ascii="Calibri" w:hAnsi="Calibri"/>
          <w:b/>
          <w:color w:val="0069A4"/>
          <w:sz w:val="19"/>
        </w:rPr>
        <w:t xml:space="preserve">The rate  </w:t>
      </w:r>
      <w:r>
        <w:rPr>
          <w:rFonts w:ascii="Calibri" w:hAnsi="Calibri"/>
          <w:color w:val="565656"/>
          <w:sz w:val="19"/>
        </w:rPr>
        <w:t>Average daily wage, being the average of the wages payable for the days she worked during the three calendar months immediately preceding the date from which she is absent. s.60(1).</w:t>
      </w:r>
    </w:p>
    <w:p>
      <w:pPr>
        <w:spacing w:after="60"/>
      </w:pPr>
      <w:r>
        <w:rPr>
          <w:rFonts w:ascii="Calibri" w:hAnsi="Calibri"/>
          <w:b/>
          <w:color w:val="0069A4"/>
          <w:sz w:val="19"/>
        </w:rPr>
        <w:t xml:space="preserve">The floor  </w:t>
      </w:r>
      <w:r>
        <w:rPr>
          <w:rFonts w:ascii="Calibri" w:hAnsi="Calibri"/>
          <w:color w:val="565656"/>
          <w:sz w:val="19"/>
        </w:rPr>
        <w:t>Never below the minimum rate of wages fixed under the Code on Wages, 2019. Explanation to s.60(1).</w:t>
      </w:r>
    </w:p>
    <w:p>
      <w:pPr>
        <w:spacing w:after="60"/>
      </w:pPr>
      <w:r>
        <w:rPr>
          <w:rFonts w:ascii="Calibri" w:hAnsi="Calibri"/>
          <w:b/>
          <w:color w:val="0069A4"/>
          <w:sz w:val="19"/>
        </w:rPr>
        <w:t xml:space="preserve">Before delivery  </w:t>
      </w:r>
      <w:r>
        <w:rPr>
          <w:rFonts w:ascii="Calibri" w:hAnsi="Calibri"/>
          <w:color w:val="565656"/>
          <w:sz w:val="19"/>
        </w:rPr>
        <w:t>Paid IN ADVANCE, on production of proof of pregnancy. s.62(5).</w:t>
      </w:r>
    </w:p>
    <w:p>
      <w:pPr>
        <w:spacing w:after="60"/>
      </w:pPr>
      <w:r>
        <w:rPr>
          <w:rFonts w:ascii="Calibri" w:hAnsi="Calibri"/>
          <w:b/>
          <w:color w:val="0069A4"/>
          <w:sz w:val="19"/>
        </w:rPr>
        <w:t xml:space="preserve">After delivery  </w:t>
      </w:r>
      <w:r>
        <w:rPr>
          <w:rFonts w:ascii="Calibri" w:hAnsi="Calibri"/>
          <w:color w:val="565656"/>
          <w:sz w:val="19"/>
        </w:rPr>
        <w:t>The balance paid WITHIN FORTY-EIGHT HOURS of production of proof of delivery. s.62(5). This is a statutory deadline, not a service standard, and it does not wait for payroll.</w:t>
      </w:r>
    </w:p>
    <w:p>
      <w:pPr>
        <w:spacing w:after="60"/>
      </w:pPr>
      <w:r>
        <w:rPr>
          <w:rFonts w:ascii="Calibri" w:hAnsi="Calibri"/>
          <w:b/>
          <w:color w:val="0069A4"/>
          <w:sz w:val="19"/>
        </w:rPr>
        <w:t xml:space="preserve">Medical bonus  </w:t>
      </w:r>
      <w:r>
        <w:rPr>
          <w:rFonts w:ascii="Calibri" w:hAnsi="Calibri"/>
          <w:color w:val="565656"/>
          <w:sz w:val="19"/>
        </w:rPr>
        <w:t>₹3,500, unless free pre-natal, confinement and post-natal care is provided. s.64.</w:t>
      </w:r>
    </w:p>
    <w:p>
      <w:pPr>
        <w:spacing w:after="60"/>
      </w:pPr>
      <w:r>
        <w:rPr>
          <w:rFonts w:ascii="Calibri" w:hAnsi="Calibri"/>
          <w:b/>
          <w:color w:val="0069A4"/>
          <w:sz w:val="19"/>
        </w:rPr>
        <w:t xml:space="preserve">If she dies before payment  </w:t>
      </w:r>
      <w:r>
        <w:rPr>
          <w:rFonts w:ascii="Calibri" w:hAnsi="Calibri"/>
          <w:color w:val="565656"/>
          <w:sz w:val="19"/>
        </w:rPr>
        <w:t>To the person she nominated in her notice, and if none, to her legal representative. s.63.</w:t>
      </w:r>
    </w:p>
    <w:p>
      <w:pPr>
        <w:keepNext w:val="0"/>
        <w:spacing w:after="120" w:before="0"/>
      </w:pPr>
      <w:r>
        <w:rPr>
          <w:rFonts w:ascii="Calibri" w:hAnsi="Calibri"/>
          <w:b w:val="0"/>
          <w:i w:val="0"/>
          <w:color w:val="1D1D1D"/>
          <w:sz w:val="21"/>
        </w:rPr>
      </w:r>
    </w:p>
    <w:p>
      <w:pPr>
        <w:keepNext w:val="0"/>
        <w:spacing w:after="160" w:before="0"/>
        <w:ind w:left="216"/>
      </w:pPr>
      <w:r>
        <w:rPr>
          <w:rFonts w:ascii="Calibri" w:hAnsi="Calibri"/>
          <w:b w:val="0"/>
          <w:i w:val="0"/>
          <w:color w:val="565656"/>
          <w:sz w:val="19"/>
        </w:rPr>
        <w:t>Two payments are called a medical bonus and they are easy to confuse. Section 64 of the Code gives ₹3,500, paid by the employer, with the second instalment of the maternity benefit. Rule 22(4) of the Social Security (Central) Rules, 2026 gives ₹15,000 per case, paid by the Employees' State Insurance Corporation to an insured woman, on account of confinement expenses, ONLY where the confinement occurs somewhere the ESI scheme's medical facilities are not available, and for two confinements only. The higher figure people quote is the second one, and it is not yours to pay.</w:t>
      </w:r>
    </w:p>
    <w:p>
      <w:pPr>
        <w:pStyle w:val="Heading1"/>
        <w:keepNext/>
        <w:spacing w:after="200" w:before="80"/>
        <w:ind w:left="115"/>
        <w:shd w:val="clear" w:fill="35A4E2"/>
      </w:pPr>
      <w:r>
        <w:rPr>
          <w:rFonts w:ascii="Calibri" w:hAnsi="Calibri"/>
          <w:b/>
          <w:color w:val="FFFFFF"/>
          <w:sz w:val="22"/>
        </w:rPr>
        <w:t>5.  What you may not do</w:t>
      </w:r>
    </w:p>
    <w:p>
      <w:pPr>
        <w:spacing w:after="60"/>
      </w:pPr>
      <w:r>
        <w:rPr>
          <w:rFonts w:ascii="Calibri" w:hAnsi="Calibri"/>
          <w:b/>
          <w:color w:val="0069A4"/>
          <w:sz w:val="19"/>
        </w:rPr>
        <w:t xml:space="preserve">Employ her in the six weeks after delivery  </w:t>
      </w:r>
      <w:r>
        <w:rPr>
          <w:rFonts w:ascii="Calibri" w:hAnsi="Calibri"/>
          <w:color w:val="565656"/>
          <w:sz w:val="19"/>
        </w:rPr>
        <w:t>Section 59(1) prohibits the employer from knowingly employing her, and s.59(2) says no woman shall work. It binds both sides, so it is not a benefit she can waive by offering to come back early.</w:t>
      </w:r>
    </w:p>
    <w:p>
      <w:pPr>
        <w:spacing w:after="60"/>
      </w:pPr>
      <w:r>
        <w:rPr>
          <w:rFonts w:ascii="Calibri" w:hAnsi="Calibri"/>
          <w:b/>
          <w:color w:val="0069A4"/>
          <w:sz w:val="19"/>
        </w:rPr>
        <w:t xml:space="preserve">Require arduous work at the wrong time  </w:t>
      </w:r>
      <w:r>
        <w:rPr>
          <w:rFonts w:ascii="Calibri" w:hAnsi="Calibri"/>
          <w:color w:val="565656"/>
          <w:sz w:val="19"/>
        </w:rPr>
        <w:t>On her request, no arduous work, no long hours of standing, and nothing likely to interfere with the pregnancy or the normal development of the foetus, in the window s.59(4) defines. No deduction for the lighter work, s.69(a).</w:t>
      </w:r>
    </w:p>
    <w:p>
      <w:pPr>
        <w:spacing w:after="60"/>
      </w:pPr>
      <w:r>
        <w:rPr>
          <w:rFonts w:ascii="Calibri" w:hAnsi="Calibri"/>
          <w:b/>
          <w:color w:val="0069A4"/>
          <w:sz w:val="19"/>
        </w:rPr>
        <w:t xml:space="preserve">Dismiss her, or worsen her terms  </w:t>
      </w:r>
      <w:r>
        <w:rPr>
          <w:rFonts w:ascii="Calibri" w:hAnsi="Calibri"/>
          <w:color w:val="565656"/>
          <w:sz w:val="19"/>
        </w:rPr>
        <w:t>Section 68(1) makes it unlawful to discharge or dismiss her during or on account of the absence, to time a notice to expire inside it, or to vary any condition of service to her disadvantage. The third limb is the one people forget, and it catches a quiet reassignment.</w:t>
      </w:r>
    </w:p>
    <w:p>
      <w:pPr>
        <w:spacing w:after="60"/>
      </w:pPr>
      <w:r>
        <w:rPr>
          <w:rFonts w:ascii="Calibri" w:hAnsi="Calibri"/>
          <w:b/>
          <w:color w:val="0069A4"/>
          <w:sz w:val="19"/>
        </w:rPr>
        <w:t xml:space="preserve">Withdraw the benefit for misconduct you have invented  </w:t>
      </w:r>
      <w:r>
        <w:rPr>
          <w:rFonts w:ascii="Calibri" w:hAnsi="Calibri"/>
          <w:color w:val="565656"/>
          <w:sz w:val="19"/>
        </w:rPr>
        <w:t>Rule 38 makes gross misconduct a closed list of five, set out below, and it takes an order in writing communicated to her, appealable to the competent authority within sixty days.</w:t>
      </w:r>
    </w:p>
    <w:p>
      <w:pPr>
        <w:spacing w:after="60"/>
      </w:pPr>
      <w:r>
        <w:rPr>
          <w:rFonts w:ascii="Calibri" w:hAnsi="Calibri"/>
          <w:b/>
          <w:color w:val="0069A4"/>
          <w:sz w:val="19"/>
        </w:rPr>
        <w:t xml:space="preserve">Deduct for the nursing breaks  </w:t>
      </w:r>
      <w:r>
        <w:rPr>
          <w:rFonts w:ascii="Calibri" w:hAnsi="Calibri"/>
          <w:color w:val="565656"/>
          <w:sz w:val="19"/>
        </w:rPr>
        <w:t>Section 69(b).</w:t>
      </w:r>
    </w:p>
    <w:p>
      <w:pPr>
        <w:keepNext w:val="0"/>
        <w:spacing w:after="80" w:before="0"/>
      </w:pPr>
      <w:r>
        <w:rPr>
          <w:rFonts w:ascii="Calibri" w:hAnsi="Calibri"/>
          <w:b w:val="0"/>
          <w:i w:val="0"/>
          <w:color w:val="1D1D1D"/>
          <w:sz w:val="21"/>
        </w:rPr>
      </w:r>
    </w:p>
    <w:p>
      <w:pPr>
        <w:keepNext/>
        <w:spacing w:after="60" w:before="0"/>
        <w:ind w:left="216"/>
      </w:pPr>
      <w:r>
        <w:rPr>
          <w:rFonts w:ascii="Calibri" w:hAnsi="Calibri"/>
          <w:b/>
          <w:i w:val="0"/>
          <w:color w:val="1D1D1D"/>
          <w:sz w:val="20"/>
        </w:rPr>
        <w:t>The five grounds in rule 38, and nothing else:</w:t>
      </w:r>
    </w:p>
    <w:p>
      <w:pPr>
        <w:keepNext w:val="0"/>
        <w:spacing w:after="40" w:before="0"/>
        <w:ind w:left="432"/>
      </w:pPr>
      <w:r>
        <w:rPr>
          <w:rFonts w:ascii="Calibri" w:hAnsi="Calibri"/>
          <w:b w:val="0"/>
          <w:i w:val="0"/>
          <w:color w:val="565656"/>
          <w:sz w:val="19"/>
        </w:rPr>
        <w:t>1.  wilful destruction of the employer's goods or property</w:t>
      </w:r>
    </w:p>
    <w:p>
      <w:pPr>
        <w:keepNext w:val="0"/>
        <w:spacing w:after="40" w:before="0"/>
        <w:ind w:left="432"/>
      </w:pPr>
      <w:r>
        <w:rPr>
          <w:rFonts w:ascii="Calibri" w:hAnsi="Calibri"/>
          <w:b w:val="0"/>
          <w:i w:val="0"/>
          <w:color w:val="565656"/>
          <w:sz w:val="19"/>
        </w:rPr>
        <w:t>2.  assaulting any superior or co-employee at the place of work</w:t>
      </w:r>
    </w:p>
    <w:p>
      <w:pPr>
        <w:keepNext w:val="0"/>
        <w:spacing w:after="40" w:before="0"/>
        <w:ind w:left="432"/>
      </w:pPr>
      <w:r>
        <w:rPr>
          <w:rFonts w:ascii="Calibri" w:hAnsi="Calibri"/>
          <w:b w:val="0"/>
          <w:i w:val="0"/>
          <w:color w:val="565656"/>
          <w:sz w:val="19"/>
        </w:rPr>
        <w:t>3.  criminal offence involving moral turpitude resulting in conviction in a court of law</w:t>
      </w:r>
    </w:p>
    <w:p>
      <w:pPr>
        <w:keepNext w:val="0"/>
        <w:spacing w:after="40" w:before="0"/>
        <w:ind w:left="432"/>
      </w:pPr>
      <w:r>
        <w:rPr>
          <w:rFonts w:ascii="Calibri" w:hAnsi="Calibri"/>
          <w:b w:val="0"/>
          <w:i w:val="0"/>
          <w:color w:val="565656"/>
          <w:sz w:val="19"/>
        </w:rPr>
        <w:t>4.  theft, fraud, or dishonesty in connection with the employer's business or property</w:t>
      </w:r>
    </w:p>
    <w:p>
      <w:pPr>
        <w:keepNext w:val="0"/>
        <w:spacing w:after="40" w:before="0"/>
        <w:ind w:left="432"/>
      </w:pPr>
      <w:r>
        <w:rPr>
          <w:rFonts w:ascii="Calibri" w:hAnsi="Calibri"/>
          <w:b w:val="0"/>
          <w:i w:val="0"/>
          <w:color w:val="565656"/>
          <w:sz w:val="19"/>
        </w:rPr>
        <w:t>5.  wilful non-observance of safety measures or rules on the subject, or wilful interference with safety devices or with firefighting equipment</w:t>
      </w:r>
    </w:p>
    <w:p>
      <w:pPr>
        <w:keepNext w:val="0"/>
        <w:spacing w:after="160" w:before="0"/>
        <w:ind w:left="216"/>
      </w:pPr>
      <w:r>
        <w:rPr>
          <w:rFonts w:ascii="Calibri" w:hAnsi="Calibri"/>
          <w:b w:val="0"/>
          <w:i w:val="0"/>
          <w:color w:val="565656"/>
          <w:sz w:val="19"/>
        </w:rPr>
        <w:t>Only section 70 forfeits the benefit otherwise, and only where she works for remuneration during the period she was permitted to be absent.</w:t>
      </w:r>
    </w:p>
    <w:p>
      <w:r>
        <w:br w:type="page"/>
      </w:r>
    </w:p>
    <w:p>
      <w:pPr>
        <w:pStyle w:val="Heading1"/>
        <w:keepNext/>
        <w:spacing w:after="200" w:before="80"/>
        <w:ind w:left="115"/>
        <w:shd w:val="clear" w:fill="008CDB"/>
      </w:pPr>
      <w:r>
        <w:rPr>
          <w:rFonts w:ascii="Calibri" w:hAnsi="Calibri"/>
          <w:b/>
          <w:color w:val="FFFFFF"/>
          <w:sz w:val="22"/>
        </w:rPr>
        <w:t>6.  THE POLICY</w:t>
      </w:r>
    </w:p>
    <w:p>
      <w:pPr>
        <w:keepNext w:val="0"/>
        <w:spacing w:after="160" w:before="0"/>
      </w:pPr>
      <w:r>
        <w:rPr>
          <w:rFonts w:ascii="Calibri" w:hAnsi="Calibri"/>
          <w:b w:val="0"/>
          <w:i/>
          <w:color w:val="565656"/>
          <w:sz w:val="19"/>
        </w:rPr>
        <w:t>Replace every [PLACEHOLDER]. If you want a clean policy without the citations, every one of the twenty-one lines begins with the same two words, so Find and Replace on 'Rests on' steps through them in one pass. Keep a copy of this file WITH them in, so you can answer a question about any clause a year from now.</w:t>
      </w:r>
    </w:p>
    <w:p>
      <w:pPr>
        <w:keepNext w:val="0"/>
        <w:spacing w:after="40" w:before="0"/>
        <w:jc w:val="center"/>
      </w:pPr>
      <w:r>
        <w:rPr>
          <w:rFonts w:ascii="Calibri" w:hAnsi="Calibri"/>
          <w:b/>
          <w:i w:val="0"/>
          <w:color w:val="1D1D1D"/>
          <w:sz w:val="28"/>
        </w:rPr>
        <w:t>MATERNITY LEAVE POLICY</w:t>
      </w:r>
    </w:p>
    <w:p>
      <w:pPr>
        <w:keepNext w:val="0"/>
        <w:spacing w:after="160" w:before="0"/>
        <w:jc w:val="center"/>
      </w:pPr>
      <w:r>
        <w:rPr>
          <w:rFonts w:ascii="Calibri" w:hAnsi="Calibri"/>
          <w:b w:val="0"/>
          <w:i w:val="0"/>
          <w:color w:val="565656"/>
          <w:sz w:val="19"/>
        </w:rPr>
        <w:t>[COMPANY NAME]  ·  effective [DD-MMM-YYYY]  ·  version [VERSION]</w:t>
      </w:r>
    </w:p>
    <w:p>
      <w:pPr>
        <w:spacing w:after="160" w:before="160"/>
        <w:pBdr>
          <w:bottom w:val="single" w:sz="6" w:space="1" w:color="D1EAF9"/>
        </w:pBdr>
      </w:pPr>
    </w:p>
    <w:p>
      <w:pPr>
        <w:pStyle w:val="Heading2"/>
        <w:keepNext/>
        <w:spacing w:after="60" w:before="160"/>
      </w:pPr>
      <w:r>
        <w:rPr>
          <w:rFonts w:ascii="Calibri" w:hAnsi="Calibri"/>
          <w:b/>
          <w:color w:val="1D1D1D"/>
          <w:sz w:val="21"/>
        </w:rPr>
        <w:t>1.  Purpose and scope</w:t>
      </w:r>
    </w:p>
    <w:p>
      <w:pPr>
        <w:keepNext w:val="0"/>
        <w:spacing w:after="60" w:before="0"/>
        <w:ind w:left="288"/>
      </w:pPr>
      <w:r>
        <w:rPr>
          <w:rFonts w:ascii="Calibri" w:hAnsi="Calibri"/>
          <w:b w:val="0"/>
          <w:i w:val="0"/>
          <w:color w:val="565656"/>
          <w:sz w:val="20"/>
        </w:rPr>
        <w:t>This policy sets out the maternity benefits available to women employed at [COMPANY NAME], and the obligations [COMPANY NAME] owes them. It applies to every woman employed at the establishment, whatever her designation and whether she is on the permanent rolls, on a fixed term contract or engaged through a contractor.</w:t>
      </w:r>
    </w:p>
    <w:p>
      <w:pPr>
        <w:keepNext w:val="0"/>
        <w:spacing w:after="60" w:before="0"/>
        <w:ind w:left="288"/>
      </w:pPr>
      <w:r>
        <w:rPr>
          <w:rFonts w:ascii="Calibri" w:hAnsi="Calibri"/>
          <w:b w:val="0"/>
          <w:i w:val="0"/>
          <w:color w:val="565656"/>
          <w:sz w:val="20"/>
        </w:rPr>
        <w:t>Where this policy gives less than Chapter VI of the Code on Social Security, 2020 requires, the Code applies and this policy is read down to it. Where it gives more, the greater benefit stands.</w:t>
      </w:r>
    </w:p>
    <w:p>
      <w:pPr>
        <w:spacing w:after="120"/>
        <w:ind w:left="288"/>
      </w:pPr>
      <w:r>
        <w:rPr>
          <w:rFonts w:ascii="Calibri" w:hAnsi="Calibri"/>
          <w:b/>
          <w:color w:val="0069A4"/>
          <w:sz w:val="17"/>
        </w:rPr>
        <w:t xml:space="preserve">Rests on  </w:t>
      </w:r>
      <w:r>
        <w:rPr>
          <w:rFonts w:ascii="Calibri" w:hAnsi="Calibri"/>
          <w:i/>
          <w:color w:val="565656"/>
          <w:sz w:val="17"/>
        </w:rPr>
        <w:t>Code on Social Security, 2020, Chapter VI, and s.161. Note which limb does what: s.161(1) makes the Code override an inconsistent contract, and its proviso PRESERVES an entitlement that is already more favourable; s.161(2) is the separate provision under which an employer and an employee may agree rights more favourable than the Code gives. This policy relies on the second where it goes beyond the Code</w:t>
      </w:r>
    </w:p>
    <w:p>
      <w:pPr>
        <w:pStyle w:val="Heading2"/>
        <w:keepNext/>
        <w:spacing w:after="60" w:before="160"/>
      </w:pPr>
      <w:r>
        <w:rPr>
          <w:rFonts w:ascii="Calibri" w:hAnsi="Calibri"/>
          <w:b/>
          <w:color w:val="1D1D1D"/>
          <w:sz w:val="21"/>
        </w:rPr>
        <w:t>2.  Who qualifies, and from when</w:t>
      </w:r>
    </w:p>
    <w:p>
      <w:pPr>
        <w:keepNext w:val="0"/>
        <w:spacing w:after="60" w:before="0"/>
        <w:ind w:left="288"/>
      </w:pPr>
      <w:r>
        <w:rPr>
          <w:rFonts w:ascii="Calibri" w:hAnsi="Calibri"/>
          <w:b w:val="0"/>
          <w:i w:val="0"/>
          <w:color w:val="565656"/>
          <w:sz w:val="20"/>
        </w:rPr>
        <w:t>A woman qualifies for maternity benefit once she has actually worked in an establishment of [COMPANY NAME] for not less than eighty days in the twelve months immediately preceding the date of her expected delivery.</w:t>
      </w:r>
    </w:p>
    <w:p>
      <w:pPr>
        <w:keepNext w:val="0"/>
        <w:spacing w:after="60" w:before="0"/>
        <w:ind w:left="288"/>
      </w:pPr>
      <w:r>
        <w:rPr>
          <w:rFonts w:ascii="Calibri" w:hAnsi="Calibri"/>
          <w:b w:val="0"/>
          <w:i w:val="0"/>
          <w:color w:val="565656"/>
          <w:sz w:val="20"/>
        </w:rPr>
        <w:t>Days actually worked count, and so do days she was laid off and days that were holidays declared under any law to be holidays with wages. A weekly off is not one of those. A woman who has not yet reached eighty days is not entitled to maternity benefit, and [COMPANY NAME] will tell her so in writing at the time she gives notice rather than at the time she expects payment.</w:t>
      </w:r>
    </w:p>
    <w:p>
      <w:pPr>
        <w:spacing w:after="120"/>
        <w:ind w:left="288"/>
      </w:pPr>
      <w:r>
        <w:rPr>
          <w:rFonts w:ascii="Calibri" w:hAnsi="Calibri"/>
          <w:b/>
          <w:color w:val="0069A4"/>
          <w:sz w:val="17"/>
        </w:rPr>
        <w:t xml:space="preserve">Rests on  </w:t>
      </w:r>
      <w:r>
        <w:rPr>
          <w:rFonts w:ascii="Calibri" w:hAnsi="Calibri"/>
          <w:i/>
          <w:color w:val="565656"/>
          <w:sz w:val="17"/>
        </w:rPr>
        <w:t>s.60(2) and its Explanation. The eighty days are worked in an establishment of the employer SHE CLAIMS FROM, so service elsewhere does not count</w:t>
      </w:r>
    </w:p>
    <w:p>
      <w:pPr>
        <w:pStyle w:val="Heading2"/>
        <w:keepNext/>
        <w:spacing w:after="60" w:before="160"/>
      </w:pPr>
      <w:r>
        <w:rPr>
          <w:rFonts w:ascii="Calibri" w:hAnsi="Calibri"/>
          <w:b/>
          <w:color w:val="1D1D1D"/>
          <w:sz w:val="21"/>
        </w:rPr>
        <w:t>3.  How long the leave runs</w:t>
      </w:r>
    </w:p>
    <w:p>
      <w:pPr>
        <w:keepNext w:val="0"/>
        <w:spacing w:after="60" w:before="0"/>
        <w:ind w:left="288"/>
      </w:pPr>
      <w:r>
        <w:rPr>
          <w:rFonts w:ascii="Calibri" w:hAnsi="Calibri"/>
          <w:b w:val="0"/>
          <w:i w:val="0"/>
          <w:color w:val="565656"/>
          <w:sz w:val="20"/>
        </w:rPr>
        <w:t>The period of maternity benefit is set out in the table at Annexure A and depends on her circumstances, not on this company's discretion. The ordinary entitlement is twenty-six weeks, of which not more than eight may precede the expected date of delivery.</w:t>
      </w:r>
    </w:p>
    <w:p>
      <w:pPr>
        <w:keepNext w:val="0"/>
        <w:spacing w:after="60" w:before="0"/>
        <w:ind w:left="288"/>
      </w:pPr>
      <w:r>
        <w:rPr>
          <w:rFonts w:ascii="Calibri" w:hAnsi="Calibri"/>
          <w:b w:val="0"/>
          <w:i w:val="0"/>
          <w:color w:val="565656"/>
          <w:sz w:val="20"/>
        </w:rPr>
        <w:t>A woman who already has two or more surviving children is entitled to twelve weeks, of which not more than six may precede. A woman adopting a child below three months of age, and a commissioning mother, are each entitled to twelve weeks from the date the child is handed over.</w:t>
      </w:r>
    </w:p>
    <w:p>
      <w:pPr>
        <w:keepNext w:val="0"/>
        <w:spacing w:after="60" w:before="0"/>
        <w:ind w:left="288"/>
      </w:pPr>
      <w:r>
        <w:rPr>
          <w:rFonts w:ascii="Calibri" w:hAnsi="Calibri"/>
          <w:b w:val="0"/>
          <w:i w:val="0"/>
          <w:color w:val="565656"/>
          <w:sz w:val="20"/>
        </w:rPr>
        <w:t>Her annual leave is not affected either way by accident. The period of maternity leave COUNTS towards the one hundred and eighty days that qualify a worker for annual leave with wages, so the absence cannot be used to push her below the qualification. She does NOT earn annual leave for the weeks she was away.</w:t>
      </w:r>
    </w:p>
    <w:p>
      <w:pPr>
        <w:spacing w:after="120"/>
        <w:ind w:left="288"/>
      </w:pPr>
      <w:r>
        <w:rPr>
          <w:rFonts w:ascii="Calibri" w:hAnsi="Calibri"/>
          <w:b/>
          <w:color w:val="0069A4"/>
          <w:sz w:val="17"/>
        </w:rPr>
        <w:t xml:space="preserve">Rests on  </w:t>
      </w:r>
      <w:r>
        <w:rPr>
          <w:rFonts w:ascii="Calibri" w:hAnsi="Calibri"/>
          <w:i/>
          <w:color w:val="565656"/>
          <w:sz w:val="17"/>
        </w:rPr>
        <w:t>s.60(3) and its first proviso, and s.60(4). The twelve-week figure is the limb most policies omit. The annual leave point is section 32(1)(iii) of the Occupational Safety, Health and Working Conditions Code, 2020, which counts a period of maternity leave towards the one hundred and eighty days under s.32(1)(i) but earns no leave for the period so counted. Note the qualification is 180 days under that Code, not the 240 the Factories Act used</w:t>
      </w:r>
    </w:p>
    <w:p>
      <w:pPr>
        <w:pStyle w:val="Heading2"/>
        <w:keepNext/>
        <w:spacing w:after="60" w:before="160"/>
      </w:pPr>
      <w:r>
        <w:rPr>
          <w:rFonts w:ascii="Calibri" w:hAnsi="Calibri"/>
          <w:b/>
          <w:color w:val="1D1D1D"/>
          <w:sz w:val="21"/>
        </w:rPr>
        <w:t>4.  What she is paid, and when</w:t>
      </w:r>
    </w:p>
    <w:p>
      <w:pPr>
        <w:keepNext w:val="0"/>
        <w:spacing w:after="60" w:before="0"/>
        <w:ind w:left="288"/>
      </w:pPr>
      <w:r>
        <w:rPr>
          <w:rFonts w:ascii="Calibri" w:hAnsi="Calibri"/>
          <w:b w:val="0"/>
          <w:i w:val="0"/>
          <w:color w:val="565656"/>
          <w:sz w:val="20"/>
        </w:rPr>
        <w:t>Maternity benefit is paid at the average daily wage, meaning the average of the wages payable to her for the days she worked during the three calendar months immediately preceding the date from which she is absent, and never below the minimum rate of wages fixed under the Code on Wages, 2019.</w:t>
      </w:r>
    </w:p>
    <w:p>
      <w:pPr>
        <w:keepNext w:val="0"/>
        <w:spacing w:after="60" w:before="0"/>
        <w:ind w:left="288"/>
      </w:pPr>
      <w:r>
        <w:rPr>
          <w:rFonts w:ascii="Calibri" w:hAnsi="Calibri"/>
          <w:b w:val="0"/>
          <w:i w:val="0"/>
          <w:color w:val="565656"/>
          <w:sz w:val="20"/>
        </w:rPr>
        <w:t>The amount for the period preceding the expected date of delivery is paid IN ADVANCE, on production of proof that she is pregnant. The balance is paid WITHIN FORTY-EIGHT HOURS of production of proof that she has been delivered of a child. Neither payment waits for the next payroll run.</w:t>
      </w:r>
    </w:p>
    <w:p>
      <w:pPr>
        <w:spacing w:after="120"/>
        <w:ind w:left="288"/>
      </w:pPr>
      <w:r>
        <w:rPr>
          <w:rFonts w:ascii="Calibri" w:hAnsi="Calibri"/>
          <w:b/>
          <w:color w:val="0069A4"/>
          <w:sz w:val="17"/>
        </w:rPr>
        <w:t xml:space="preserve">Rests on  </w:t>
      </w:r>
      <w:r>
        <w:rPr>
          <w:rFonts w:ascii="Calibri" w:hAnsi="Calibri"/>
          <w:i/>
          <w:color w:val="565656"/>
          <w:sz w:val="17"/>
        </w:rPr>
        <w:t>s.60(1) and its Explanation, and s.62(5). The forty-eight hours is a statutory deadline and not a service standard</w:t>
      </w:r>
    </w:p>
    <w:p>
      <w:pPr>
        <w:pStyle w:val="Heading2"/>
        <w:keepNext/>
        <w:spacing w:after="60" w:before="160"/>
      </w:pPr>
      <w:r>
        <w:rPr>
          <w:rFonts w:ascii="Calibri" w:hAnsi="Calibri"/>
          <w:b/>
          <w:color w:val="1D1D1D"/>
          <w:sz w:val="21"/>
        </w:rPr>
        <w:t>5.  Medical bonus</w:t>
      </w:r>
    </w:p>
    <w:p>
      <w:pPr>
        <w:keepNext w:val="0"/>
        <w:spacing w:after="60" w:before="0"/>
        <w:ind w:left="288"/>
      </w:pPr>
      <w:r>
        <w:rPr>
          <w:rFonts w:ascii="Calibri" w:hAnsi="Calibri"/>
          <w:b w:val="0"/>
          <w:i w:val="0"/>
          <w:color w:val="565656"/>
          <w:sz w:val="20"/>
        </w:rPr>
        <w:t>A woman entitled to maternity benefit is also entitled to a medical bonus of ₹3,500, unless [COMPANY NAME] provides pre-natal, confinement and post-natal care to her free of charge. It is paid along with the second instalment of the maternity benefit.</w:t>
      </w:r>
    </w:p>
    <w:p>
      <w:pPr>
        <w:spacing w:after="120"/>
        <w:ind w:left="288"/>
      </w:pPr>
      <w:r>
        <w:rPr>
          <w:rFonts w:ascii="Calibri" w:hAnsi="Calibri"/>
          <w:b/>
          <w:color w:val="0069A4"/>
          <w:sz w:val="17"/>
        </w:rPr>
        <w:t xml:space="preserve">Rests on  </w:t>
      </w:r>
      <w:r>
        <w:rPr>
          <w:rFonts w:ascii="Calibri" w:hAnsi="Calibri"/>
          <w:i/>
          <w:color w:val="565656"/>
          <w:sz w:val="17"/>
        </w:rPr>
        <w:t>s.64. The figure is three thousand five hundred rupees or such amount as the Central Government notifies. It was still three thousand five hundred in the Social Security (Central) Rules, 2026, gazetted 08-May-2026, at paragraph 5(a) of Form-XIV. Whether it has been notified upward since is not something this file can tell you: check before you adopt it</w:t>
      </w:r>
    </w:p>
    <w:p>
      <w:pPr>
        <w:pStyle w:val="Heading2"/>
        <w:keepNext/>
        <w:spacing w:after="60" w:before="160"/>
      </w:pPr>
      <w:r>
        <w:rPr>
          <w:rFonts w:ascii="Calibri" w:hAnsi="Calibri"/>
          <w:b/>
          <w:color w:val="1D1D1D"/>
          <w:sz w:val="21"/>
        </w:rPr>
        <w:t>6.  Where the Employees' State Insurance scheme applies</w:t>
      </w:r>
    </w:p>
    <w:p>
      <w:pPr>
        <w:keepNext w:val="0"/>
        <w:spacing w:after="60" w:before="0"/>
        <w:ind w:left="288"/>
      </w:pPr>
      <w:r>
        <w:rPr>
          <w:rFonts w:ascii="Calibri" w:hAnsi="Calibri"/>
          <w:b w:val="0"/>
          <w:i w:val="0"/>
          <w:color w:val="565656"/>
          <w:sz w:val="20"/>
        </w:rPr>
        <w:t>A woman covered by the Employees' State Insurance scheme continues to receive maternity benefit from [COMPANY NAME] under this policy until she becomes qualified to claim it from the Corporation. She becomes so qualified when contributions in respect of her have been payable for not less than seventy days in the immediately preceding two consecutive contribution periods.</w:t>
      </w:r>
    </w:p>
    <w:p>
      <w:pPr>
        <w:keepNext w:val="0"/>
        <w:spacing w:after="60" w:before="0"/>
        <w:ind w:left="288"/>
      </w:pPr>
      <w:r>
        <w:rPr>
          <w:rFonts w:ascii="Calibri" w:hAnsi="Calibri"/>
          <w:b w:val="0"/>
          <w:i w:val="0"/>
          <w:color w:val="565656"/>
          <w:sz w:val="20"/>
        </w:rPr>
        <w:t>Once she is eligible to claim from the Corporation she claims from the Corporation, and not from [COMPANY NAME] under Chapter VI.</w:t>
      </w:r>
    </w:p>
    <w:p>
      <w:pPr>
        <w:spacing w:after="120"/>
        <w:ind w:left="288"/>
      </w:pPr>
      <w:r>
        <w:rPr>
          <w:rFonts w:ascii="Calibri" w:hAnsi="Calibri"/>
          <w:b/>
          <w:color w:val="0069A4"/>
          <w:sz w:val="17"/>
        </w:rPr>
        <w:t xml:space="preserve">Rests on  </w:t>
      </w:r>
      <w:r>
        <w:rPr>
          <w:rFonts w:ascii="Calibri" w:hAnsi="Calibri"/>
          <w:i/>
          <w:color w:val="565656"/>
          <w:sz w:val="17"/>
        </w:rPr>
        <w:t>s.61 and s.41(7)(b) of the Code, read with rule 22(3)(a) of the Social Security (Central) Rules, 2026, in the gazette's words. These two sections pull in opposite directions and quoting either one alone gets the answer wrong</w:t>
      </w:r>
    </w:p>
    <w:p>
      <w:pPr>
        <w:pStyle w:val="Heading2"/>
        <w:keepNext/>
        <w:spacing w:after="60" w:before="160"/>
      </w:pPr>
      <w:r>
        <w:rPr>
          <w:rFonts w:ascii="Calibri" w:hAnsi="Calibri"/>
          <w:b/>
          <w:color w:val="1D1D1D"/>
          <w:sz w:val="21"/>
        </w:rPr>
        <w:t>7.  Leave for miscarriage, termination, tubectomy and illness</w:t>
      </w:r>
    </w:p>
    <w:p>
      <w:pPr>
        <w:keepNext w:val="0"/>
        <w:spacing w:after="60" w:before="0"/>
        <w:ind w:left="288"/>
      </w:pPr>
      <w:r>
        <w:rPr>
          <w:rFonts w:ascii="Calibri" w:hAnsi="Calibri"/>
          <w:b w:val="0"/>
          <w:i w:val="0"/>
          <w:color w:val="565656"/>
          <w:sz w:val="20"/>
        </w:rPr>
        <w:t>A woman is entitled to six weeks' leave with wages at the rate of maternity benefit immediately following a miscarriage or a medical termination of pregnancy, and two weeks immediately following a tubectomy operation.</w:t>
      </w:r>
    </w:p>
    <w:p>
      <w:pPr>
        <w:keepNext w:val="0"/>
        <w:spacing w:after="60" w:before="0"/>
        <w:ind w:left="288"/>
      </w:pPr>
      <w:r>
        <w:rPr>
          <w:rFonts w:ascii="Calibri" w:hAnsi="Calibri"/>
          <w:b w:val="0"/>
          <w:i w:val="0"/>
          <w:color w:val="565656"/>
          <w:sz w:val="20"/>
        </w:rPr>
        <w:t>A woman suffering from illness arising out of pregnancy, delivery, premature birth, miscarriage or medical termination is entitled to a further one month's leave with wages at that rate, in addition to the absence allowed under section 62 or the six weeks under section 65(1).</w:t>
      </w:r>
    </w:p>
    <w:p>
      <w:pPr>
        <w:keepNext w:val="0"/>
        <w:spacing w:after="60" w:before="0"/>
        <w:ind w:left="288"/>
      </w:pPr>
      <w:r>
        <w:rPr>
          <w:rFonts w:ascii="Calibri" w:hAnsi="Calibri"/>
          <w:b w:val="0"/>
          <w:i w:val="0"/>
          <w:color w:val="565656"/>
          <w:sz w:val="20"/>
        </w:rPr>
        <w:t>Section 65(3) does not list tubectomy among the causes of that illness, but rule 35(1)(a), Form-X and paragraph 5(c) of Form-XIV all do. Where a woman produces a Form-X certifying illness arising out of a tubectomy, [COMPANY NAME] grants the month, because the Rules contemplate it and section 161(2) preserves an employer's freedom to agree a benefit more favourable than the Code requires.</w:t>
      </w:r>
    </w:p>
    <w:p>
      <w:pPr>
        <w:spacing w:after="120"/>
        <w:ind w:left="288"/>
      </w:pPr>
      <w:r>
        <w:rPr>
          <w:rFonts w:ascii="Calibri" w:hAnsi="Calibri"/>
          <w:b/>
          <w:color w:val="0069A4"/>
          <w:sz w:val="17"/>
        </w:rPr>
        <w:t xml:space="preserve">Rests on  </w:t>
      </w:r>
      <w:r>
        <w:rPr>
          <w:rFonts w:ascii="Calibri" w:hAnsi="Calibri"/>
          <w:i/>
          <w:color w:val="565656"/>
          <w:sz w:val="17"/>
        </w:rPr>
        <w:t>s.65(1), (2) and (3), with rule 35(1)(a). The one month is ADDITIONAL, not an alternative. Note the divergence, which runs the opposite way from the rest of this pack: the Code's s.65(3) omits tubectomy from the causes of illness and the Rules include it, so here the subordinate instrument is the wider one</w:t>
      </w:r>
    </w:p>
    <w:p>
      <w:pPr>
        <w:pStyle w:val="Heading2"/>
        <w:keepNext/>
        <w:spacing w:after="60" w:before="160"/>
      </w:pPr>
      <w:r>
        <w:rPr>
          <w:rFonts w:ascii="Calibri" w:hAnsi="Calibri"/>
          <w:b/>
          <w:color w:val="1D1D1D"/>
          <w:sz w:val="21"/>
        </w:rPr>
        <w:t>8.  Proof</w:t>
      </w:r>
    </w:p>
    <w:p>
      <w:pPr>
        <w:keepNext w:val="0"/>
        <w:spacing w:after="60" w:before="0"/>
        <w:ind w:left="288"/>
      </w:pPr>
      <w:r>
        <w:rPr>
          <w:rFonts w:ascii="Calibri" w:hAnsi="Calibri"/>
          <w:b w:val="0"/>
          <w:i w:val="0"/>
          <w:color w:val="565656"/>
          <w:sz w:val="20"/>
        </w:rPr>
        <w:t>Proof is a certificate in Form-X. It may be given by a registered medical practitioner, by an Accredited Social Health Activist, or by a qualified Auxiliary Nurse and Midwife. Confinement may also be proved by a birth certificate from the municipality or the gram panchayat, an extract from a birth register, or a certificate signed by the Gram Pradhan, the Village Administrative Officer or an Authorised Officer of the Municipality.</w:t>
      </w:r>
    </w:p>
    <w:p>
      <w:pPr>
        <w:keepNext w:val="0"/>
        <w:spacing w:after="60" w:before="0"/>
        <w:ind w:left="288"/>
      </w:pPr>
      <w:r>
        <w:rPr>
          <w:rFonts w:ascii="Calibri" w:hAnsi="Calibri"/>
          <w:b w:val="0"/>
          <w:i w:val="0"/>
          <w:color w:val="565656"/>
          <w:sz w:val="20"/>
        </w:rPr>
        <w:t>[COMPANY NAME] will not require a form of proof the Rules do not require. An application on plain paper or sent electronically, with the relevant particulars, is accepted instead of Form-XI, and no claim is refused merely because it was not made on the specified form.</w:t>
      </w:r>
    </w:p>
    <w:p>
      <w:pPr>
        <w:keepNext w:val="0"/>
        <w:spacing w:after="60" w:before="0"/>
        <w:ind w:left="288"/>
      </w:pPr>
      <w:r>
        <w:rPr>
          <w:rFonts w:ascii="Calibri" w:hAnsi="Calibri"/>
          <w:b w:val="0"/>
          <w:i w:val="0"/>
          <w:color w:val="565656"/>
          <w:sz w:val="20"/>
        </w:rPr>
        <w:t>The Rules prescribe NO form of proof for adoption or for a commissioning mother. Form-X covers pregnancy, delivery, miscarriage, medical termination, tubectomy, illness and death, and nothing else. For a claim under section 60(4), [COMPANY NAME] asks for the documents that evidence the adoption or the handover of the child, and does not withhold the benefit for want of a prescribed form that does not exist.</w:t>
      </w:r>
    </w:p>
    <w:p>
      <w:pPr>
        <w:spacing w:after="120"/>
        <w:ind w:left="288"/>
      </w:pPr>
      <w:r>
        <w:rPr>
          <w:rFonts w:ascii="Calibri" w:hAnsi="Calibri"/>
          <w:b/>
          <w:color w:val="0069A4"/>
          <w:sz w:val="17"/>
        </w:rPr>
        <w:t xml:space="preserve">Rests on  </w:t>
      </w:r>
      <w:r>
        <w:rPr>
          <w:rFonts w:ascii="Calibri" w:hAnsi="Calibri"/>
          <w:i/>
          <w:color w:val="565656"/>
          <w:sz w:val="17"/>
        </w:rPr>
        <w:t>Rule 35 of the Social Security (Central) Rules, 2026, including the two provisos to rule 35(2)(a). An ASHA worker's certificate is sufficient and a policy demanding a doctor's is asking for more than the law does. Note that rule 35 lists what Form-X proves, and neither adoption nor commissioning is on that list</w:t>
      </w:r>
    </w:p>
    <w:p>
      <w:pPr>
        <w:pStyle w:val="Heading2"/>
        <w:keepNext/>
        <w:spacing w:after="60" w:before="160"/>
      </w:pPr>
      <w:r>
        <w:rPr>
          <w:rFonts w:ascii="Calibri" w:hAnsi="Calibri"/>
          <w:b/>
          <w:color w:val="1D1D1D"/>
          <w:sz w:val="21"/>
        </w:rPr>
        <w:t>9.  Notice</w:t>
      </w:r>
    </w:p>
    <w:p>
      <w:pPr>
        <w:keepNext w:val="0"/>
        <w:spacing w:after="60" w:before="0"/>
        <w:ind w:left="288"/>
      </w:pPr>
      <w:r>
        <w:rPr>
          <w:rFonts w:ascii="Calibri" w:hAnsi="Calibri"/>
          <w:b w:val="0"/>
          <w:i w:val="0"/>
          <w:color w:val="565656"/>
          <w:sz w:val="20"/>
        </w:rPr>
        <w:t>A woman may give notice in writing, in Form-XI, stating the date from which she will be absent, which may not be earlier than eight weeks from her expected date of delivery, and naming anyone she nominates to receive payment. Rule 35(2)(a) requires the Aadhaar details of that nominee to be given at the time the nomination is filled in. That is another person's Aadhaar, and clause 19 governs how [COMPANY NAME] holds it.</w:t>
      </w:r>
    </w:p>
    <w:p>
      <w:pPr>
        <w:keepNext w:val="0"/>
        <w:spacing w:after="60" w:before="0"/>
        <w:ind w:left="288"/>
      </w:pPr>
      <w:r>
        <w:rPr>
          <w:rFonts w:ascii="Calibri" w:hAnsi="Calibri"/>
          <w:b w:val="0"/>
          <w:i w:val="0"/>
          <w:color w:val="565656"/>
          <w:sz w:val="20"/>
        </w:rPr>
        <w:t>A woman who did not give notice while pregnant may give it as soon as possible after delivery. FAILURE TO GIVE NOTICE DOES NOT DISENTITLE HER to maternity benefit or to any other amount under this policy.</w:t>
      </w:r>
    </w:p>
    <w:p>
      <w:pPr>
        <w:spacing w:after="120"/>
        <w:ind w:left="288"/>
      </w:pPr>
      <w:r>
        <w:rPr>
          <w:rFonts w:ascii="Calibri" w:hAnsi="Calibri"/>
          <w:b/>
          <w:color w:val="0069A4"/>
          <w:sz w:val="17"/>
        </w:rPr>
        <w:t xml:space="preserve">Rests on  </w:t>
      </w:r>
      <w:r>
        <w:rPr>
          <w:rFonts w:ascii="Calibri" w:hAnsi="Calibri"/>
          <w:i/>
          <w:color w:val="565656"/>
          <w:sz w:val="17"/>
        </w:rPr>
        <w:t>s.62(1) to (4) and s.62(6), with Form-XI prescribed by rule 35. The last sentence is the one policies get wrong by making notice a condition. Note also that Form-XIV, the abstract rule 40(4) makes you display, puts this date at SIX weeks in its paragraph 4(b). Section 62(2) of the Code says eight, and the Code prevails over a form made under it</w:t>
      </w:r>
    </w:p>
    <w:p>
      <w:pPr>
        <w:pStyle w:val="Heading2"/>
        <w:keepNext/>
        <w:spacing w:after="60" w:before="160"/>
      </w:pPr>
      <w:r>
        <w:rPr>
          <w:rFonts w:ascii="Calibri" w:hAnsi="Calibri"/>
          <w:b/>
          <w:color w:val="1D1D1D"/>
          <w:sz w:val="21"/>
        </w:rPr>
        <w:t>10.  Work she will not be asked to do</w:t>
      </w:r>
    </w:p>
    <w:p>
      <w:pPr>
        <w:keepNext w:val="0"/>
        <w:spacing w:after="60" w:before="0"/>
        <w:ind w:left="288"/>
      </w:pPr>
      <w:r>
        <w:rPr>
          <w:rFonts w:ascii="Calibri" w:hAnsi="Calibri"/>
          <w:b w:val="0"/>
          <w:i w:val="0"/>
          <w:color w:val="565656"/>
          <w:sz w:val="20"/>
        </w:rPr>
        <w:t>On her request, [COMPANY NAME] will not require a pregnant woman to do work of an arduous nature, work involving long hours of standing, or work likely to interfere with her pregnancy or the normal development of the foetus, during the month immediately preceding the six weeks before her expected delivery, and during any part of those six weeks she has not taken as leave.</w:t>
      </w:r>
    </w:p>
    <w:p>
      <w:pPr>
        <w:keepNext w:val="0"/>
        <w:spacing w:after="60" w:before="0"/>
        <w:ind w:left="288"/>
      </w:pPr>
      <w:r>
        <w:rPr>
          <w:rFonts w:ascii="Calibri" w:hAnsi="Calibri"/>
          <w:b w:val="0"/>
          <w:i w:val="0"/>
          <w:color w:val="565656"/>
          <w:sz w:val="20"/>
        </w:rPr>
        <w:t>No deduction will be made from her normal and usual daily wages by reason only of that lighter work.</w:t>
      </w:r>
    </w:p>
    <w:p>
      <w:pPr>
        <w:spacing w:after="120"/>
        <w:ind w:left="288"/>
      </w:pPr>
      <w:r>
        <w:rPr>
          <w:rFonts w:ascii="Calibri" w:hAnsi="Calibri"/>
          <w:b/>
          <w:color w:val="0069A4"/>
          <w:sz w:val="17"/>
        </w:rPr>
        <w:t xml:space="preserve">Rests on  </w:t>
      </w:r>
      <w:r>
        <w:rPr>
          <w:rFonts w:ascii="Calibri" w:hAnsi="Calibri"/>
          <w:i/>
          <w:color w:val="565656"/>
          <w:sz w:val="17"/>
        </w:rPr>
        <w:t>s.59(3) and (4), and s.69(a). 'Arduous' is defined in the Explanation to s.59 as work involving or requiring strenuous effort, or difficult and tiring in nature</w:t>
      </w:r>
    </w:p>
    <w:p>
      <w:pPr>
        <w:pStyle w:val="Heading2"/>
        <w:keepNext/>
        <w:spacing w:after="60" w:before="160"/>
      </w:pPr>
      <w:r>
        <w:rPr>
          <w:rFonts w:ascii="Calibri" w:hAnsi="Calibri"/>
          <w:b/>
          <w:color w:val="1D1D1D"/>
          <w:sz w:val="21"/>
        </w:rPr>
        <w:t>11.  The six weeks after delivery are not optional</w:t>
      </w:r>
    </w:p>
    <w:p>
      <w:pPr>
        <w:keepNext w:val="0"/>
        <w:spacing w:after="60" w:before="0"/>
        <w:ind w:left="288"/>
      </w:pPr>
      <w:r>
        <w:rPr>
          <w:rFonts w:ascii="Calibri" w:hAnsi="Calibri"/>
          <w:b w:val="0"/>
          <w:i w:val="0"/>
          <w:color w:val="565656"/>
          <w:sz w:val="20"/>
        </w:rPr>
        <w:t>[COMPANY NAME] will not knowingly employ a woman during the six weeks immediately following the day of her delivery, miscarriage or medical termination of pregnancy, and no woman shall work during that period.</w:t>
      </w:r>
    </w:p>
    <w:p>
      <w:pPr>
        <w:keepNext w:val="0"/>
        <w:spacing w:after="60" w:before="0"/>
        <w:ind w:left="288"/>
      </w:pPr>
      <w:r>
        <w:rPr>
          <w:rFonts w:ascii="Calibri" w:hAnsi="Calibri"/>
          <w:b w:val="0"/>
          <w:i w:val="0"/>
          <w:color w:val="565656"/>
          <w:sz w:val="20"/>
        </w:rPr>
        <w:t>This is a prohibition on the employer. It is not a benefit she may waive by offering to return early.</w:t>
      </w:r>
    </w:p>
    <w:p>
      <w:pPr>
        <w:spacing w:after="120"/>
        <w:ind w:left="288"/>
      </w:pPr>
      <w:r>
        <w:rPr>
          <w:rFonts w:ascii="Calibri" w:hAnsi="Calibri"/>
          <w:b/>
          <w:color w:val="0069A4"/>
          <w:sz w:val="17"/>
        </w:rPr>
        <w:t xml:space="preserve">Rests on  </w:t>
      </w:r>
      <w:r>
        <w:rPr>
          <w:rFonts w:ascii="Calibri" w:hAnsi="Calibri"/>
          <w:i/>
          <w:color w:val="565656"/>
          <w:sz w:val="17"/>
        </w:rPr>
        <w:t>s.59(1) and (2). Both limbs, because the section binds the employer and the employee separately</w:t>
      </w:r>
    </w:p>
    <w:p>
      <w:pPr>
        <w:pStyle w:val="Heading2"/>
        <w:keepNext/>
        <w:spacing w:after="60" w:before="160"/>
      </w:pPr>
      <w:r>
        <w:rPr>
          <w:rFonts w:ascii="Calibri" w:hAnsi="Calibri"/>
          <w:b/>
          <w:color w:val="1D1D1D"/>
          <w:sz w:val="21"/>
        </w:rPr>
        <w:t>12.  Nursing breaks</w:t>
      </w:r>
    </w:p>
    <w:p>
      <w:pPr>
        <w:keepNext w:val="0"/>
        <w:spacing w:after="60" w:before="0"/>
        <w:ind w:left="288"/>
      </w:pPr>
      <w:r>
        <w:rPr>
          <w:rFonts w:ascii="Calibri" w:hAnsi="Calibri"/>
          <w:b w:val="0"/>
          <w:i w:val="0"/>
          <w:color w:val="565656"/>
          <w:sz w:val="20"/>
        </w:rPr>
        <w:t>A woman who returns to duty after delivery is allowed two nursing breaks a day, in addition to her rest intervals, until the child attains the age of fifteen months. Each break is fifteen minutes, with up to a further fifteen minutes for the journey to and from the creche or the place the child is left.</w:t>
      </w:r>
    </w:p>
    <w:p>
      <w:pPr>
        <w:keepNext w:val="0"/>
        <w:spacing w:after="60" w:before="0"/>
        <w:ind w:left="288"/>
      </w:pPr>
      <w:r>
        <w:rPr>
          <w:rFonts w:ascii="Calibri" w:hAnsi="Calibri"/>
          <w:b w:val="0"/>
          <w:i w:val="0"/>
          <w:color w:val="565656"/>
          <w:sz w:val="20"/>
        </w:rPr>
        <w:t>No deduction will be made from her wages by reason only of those breaks.</w:t>
      </w:r>
    </w:p>
    <w:p>
      <w:pPr>
        <w:spacing w:after="120"/>
        <w:ind w:left="288"/>
      </w:pPr>
      <w:r>
        <w:rPr>
          <w:rFonts w:ascii="Calibri" w:hAnsi="Calibri"/>
          <w:b/>
          <w:color w:val="0069A4"/>
          <w:sz w:val="17"/>
        </w:rPr>
        <w:t xml:space="preserve">Rests on  </w:t>
      </w:r>
      <w:r>
        <w:rPr>
          <w:rFonts w:ascii="Calibri" w:hAnsi="Calibri"/>
          <w:i/>
          <w:color w:val="565656"/>
          <w:sz w:val="17"/>
        </w:rPr>
        <w:t>s.66 and s.69(b), read with rule 36 of the Social Security (Central) Rules, 2026, which sets the fifteen minutes and the travel allowance</w:t>
      </w:r>
    </w:p>
    <w:p>
      <w:pPr>
        <w:pStyle w:val="Heading2"/>
        <w:keepNext/>
        <w:spacing w:after="60" w:before="160"/>
      </w:pPr>
      <w:r>
        <w:rPr>
          <w:rFonts w:ascii="Calibri" w:hAnsi="Calibri"/>
          <w:b/>
          <w:color w:val="1D1D1D"/>
          <w:sz w:val="21"/>
        </w:rPr>
        <w:t>13.  Creche</w:t>
      </w:r>
    </w:p>
    <w:p>
      <w:pPr>
        <w:keepNext w:val="0"/>
        <w:spacing w:after="60" w:before="0"/>
        <w:ind w:left="288"/>
      </w:pPr>
      <w:r>
        <w:rPr>
          <w:rFonts w:ascii="Calibri" w:hAnsi="Calibri"/>
          <w:b w:val="0"/>
          <w:i w:val="0"/>
          <w:color w:val="565656"/>
          <w:sz w:val="20"/>
        </w:rPr>
        <w:t>Where [COMPANY NAME] ordinarily employs fifty or more employees, a creche is provided for the use of children under six years, within one kilometre of the establishment. A woman is allowed four visits a day to it, and her rest intervals count within those four.</w:t>
      </w:r>
    </w:p>
    <w:p>
      <w:pPr>
        <w:keepNext w:val="0"/>
        <w:spacing w:after="60" w:before="0"/>
        <w:ind w:left="288"/>
      </w:pPr>
      <w:r>
        <w:rPr>
          <w:rFonts w:ascii="Calibri" w:hAnsi="Calibri"/>
          <w:b w:val="0"/>
          <w:i w:val="0"/>
          <w:color w:val="565656"/>
          <w:sz w:val="20"/>
        </w:rPr>
        <w:t>The criteria at Annexure D apply. [COMPANY NAME] may meet this by a common creche, including one run by a government, a municipality, another organisation, or by pooling resources with other establishments.</w:t>
      </w:r>
    </w:p>
    <w:p>
      <w:pPr>
        <w:spacing w:after="120"/>
        <w:ind w:left="288"/>
      </w:pPr>
      <w:r>
        <w:rPr>
          <w:rFonts w:ascii="Calibri" w:hAnsi="Calibri"/>
          <w:b/>
          <w:color w:val="0069A4"/>
          <w:sz w:val="17"/>
        </w:rPr>
        <w:t xml:space="preserve">Rests on  </w:t>
      </w:r>
      <w:r>
        <w:rPr>
          <w:rFonts w:ascii="Calibri" w:hAnsi="Calibri"/>
          <w:i/>
          <w:color w:val="565656"/>
          <w:sz w:val="17"/>
        </w:rPr>
        <w:t>s.67(1) and its two provisos, read with rule 37. Fifty EMPLOYEES, not fifty women</w:t>
      </w:r>
    </w:p>
    <w:p>
      <w:pPr>
        <w:pStyle w:val="Heading2"/>
        <w:keepNext/>
        <w:spacing w:after="60" w:before="160"/>
      </w:pPr>
      <w:r>
        <w:rPr>
          <w:rFonts w:ascii="Calibri" w:hAnsi="Calibri"/>
          <w:b/>
          <w:color w:val="1D1D1D"/>
          <w:sz w:val="21"/>
        </w:rPr>
        <w:t>14.  Working from home</w:t>
      </w:r>
    </w:p>
    <w:p>
      <w:pPr>
        <w:keepNext w:val="0"/>
        <w:spacing w:after="60" w:before="0"/>
        <w:ind w:left="288"/>
      </w:pPr>
      <w:r>
        <w:rPr>
          <w:rFonts w:ascii="Calibri" w:hAnsi="Calibri"/>
          <w:b w:val="0"/>
          <w:i w:val="0"/>
          <w:color w:val="565656"/>
          <w:sz w:val="20"/>
        </w:rPr>
        <w:t>Where the work assigned to a woman is of a nature that may be done from home, [COMPANY NAME] may allow her to do so after she has availed her maternity benefit, for such period and on such conditions as she and [COMPANY NAME] mutually agree.</w:t>
      </w:r>
    </w:p>
    <w:p>
      <w:pPr>
        <w:spacing w:after="120"/>
        <w:ind w:left="288"/>
      </w:pPr>
      <w:r>
        <w:rPr>
          <w:rFonts w:ascii="Calibri" w:hAnsi="Calibri"/>
          <w:b/>
          <w:color w:val="0069A4"/>
          <w:sz w:val="17"/>
        </w:rPr>
        <w:t xml:space="preserve">Rests on  </w:t>
      </w:r>
      <w:r>
        <w:rPr>
          <w:rFonts w:ascii="Calibri" w:hAnsi="Calibri"/>
          <w:i/>
          <w:color w:val="565656"/>
          <w:sz w:val="17"/>
        </w:rPr>
        <w:t>s.60(5). It is permissive, it comes AFTER the benefit rather than instead of it, and it requires agreement rather than instruction</w:t>
      </w:r>
    </w:p>
    <w:p>
      <w:pPr>
        <w:pStyle w:val="Heading2"/>
        <w:keepNext/>
        <w:spacing w:after="60" w:before="160"/>
      </w:pPr>
      <w:r>
        <w:rPr>
          <w:rFonts w:ascii="Calibri" w:hAnsi="Calibri"/>
          <w:b/>
          <w:color w:val="1D1D1D"/>
          <w:sz w:val="21"/>
        </w:rPr>
        <w:t>15.  Protection from dismissal and from disadvantage</w:t>
      </w:r>
    </w:p>
    <w:p>
      <w:pPr>
        <w:keepNext w:val="0"/>
        <w:spacing w:after="60" w:before="0"/>
        <w:ind w:left="288"/>
      </w:pPr>
      <w:r>
        <w:rPr>
          <w:rFonts w:ascii="Calibri" w:hAnsi="Calibri"/>
          <w:b w:val="0"/>
          <w:i w:val="0"/>
          <w:color w:val="565656"/>
          <w:sz w:val="20"/>
        </w:rPr>
        <w:t>While a woman is absent in accordance with this policy, [COMPANY NAME] will not discharge or dismiss her during or on account of that absence, will not give notice of discharge or dismissal timed to expire during it, and WILL NOT VARY ANY CONDITION OF HER SERVICE TO HER DISADVANTAGE.</w:t>
      </w:r>
    </w:p>
    <w:p>
      <w:pPr>
        <w:keepNext w:val="0"/>
        <w:spacing w:after="60" w:before="0"/>
        <w:ind w:left="288"/>
      </w:pPr>
      <w:r>
        <w:rPr>
          <w:rFonts w:ascii="Calibri" w:hAnsi="Calibri"/>
          <w:b w:val="0"/>
          <w:i w:val="0"/>
          <w:color w:val="565656"/>
          <w:sz w:val="20"/>
        </w:rPr>
        <w:t>Discharge or dismissal at any time during her pregnancy does not deprive her of maternity benefit or medical bonus. Only the five acts of gross misconduct prescribed by rule 38 can do that, and only by an order in writing communicated to her, against which she may appeal to the competent authority in Form-XII within sixty days.</w:t>
      </w:r>
    </w:p>
    <w:p>
      <w:pPr>
        <w:spacing w:after="120"/>
        <w:ind w:left="288"/>
      </w:pPr>
      <w:r>
        <w:rPr>
          <w:rFonts w:ascii="Calibri" w:hAnsi="Calibri"/>
          <w:b/>
          <w:color w:val="0069A4"/>
          <w:sz w:val="17"/>
        </w:rPr>
        <w:t xml:space="preserve">Rests on  </w:t>
      </w:r>
      <w:r>
        <w:rPr>
          <w:rFonts w:ascii="Calibri" w:hAnsi="Calibri"/>
          <w:i/>
          <w:color w:val="565656"/>
          <w:sz w:val="17"/>
        </w:rPr>
        <w:t>s.68(1) and its two provisos, and s.68(2), read with rule 38, which makes gross misconduct a closed list of five</w:t>
      </w:r>
    </w:p>
    <w:p>
      <w:pPr>
        <w:pStyle w:val="Heading2"/>
        <w:keepNext/>
        <w:spacing w:after="60" w:before="160"/>
      </w:pPr>
      <w:r>
        <w:rPr>
          <w:rFonts w:ascii="Calibri" w:hAnsi="Calibri"/>
          <w:b/>
          <w:color w:val="1D1D1D"/>
          <w:sz w:val="21"/>
        </w:rPr>
        <w:t>16.  When benefit is forfeited</w:t>
      </w:r>
    </w:p>
    <w:p>
      <w:pPr>
        <w:keepNext w:val="0"/>
        <w:spacing w:after="60" w:before="0"/>
        <w:ind w:left="288"/>
      </w:pPr>
      <w:r>
        <w:rPr>
          <w:rFonts w:ascii="Calibri" w:hAnsi="Calibri"/>
          <w:b w:val="0"/>
          <w:i w:val="0"/>
          <w:color w:val="565656"/>
          <w:sz w:val="20"/>
        </w:rPr>
        <w:t>A woman who works for remuneration during the period she has been permitted to be absent is not entitled to maternity benefit for that period. Nothing else in this policy forfeits it.</w:t>
      </w:r>
    </w:p>
    <w:p>
      <w:pPr>
        <w:spacing w:after="120"/>
        <w:ind w:left="288"/>
      </w:pPr>
      <w:r>
        <w:rPr>
          <w:rFonts w:ascii="Calibri" w:hAnsi="Calibri"/>
          <w:b/>
          <w:color w:val="0069A4"/>
          <w:sz w:val="17"/>
        </w:rPr>
        <w:t xml:space="preserve">Rests on  </w:t>
      </w:r>
      <w:r>
        <w:rPr>
          <w:rFonts w:ascii="Calibri" w:hAnsi="Calibri"/>
          <w:i/>
          <w:color w:val="565656"/>
          <w:sz w:val="17"/>
        </w:rPr>
        <w:t>s.70</w:t>
      </w:r>
    </w:p>
    <w:p>
      <w:pPr>
        <w:pStyle w:val="Heading2"/>
        <w:keepNext/>
        <w:spacing w:after="60" w:before="160"/>
      </w:pPr>
      <w:r>
        <w:rPr>
          <w:rFonts w:ascii="Calibri" w:hAnsi="Calibri"/>
          <w:b/>
          <w:color w:val="1D1D1D"/>
          <w:sz w:val="21"/>
        </w:rPr>
        <w:t>17.  If she dies</w:t>
      </w:r>
    </w:p>
    <w:p>
      <w:pPr>
        <w:keepNext w:val="0"/>
        <w:spacing w:after="60" w:before="0"/>
        <w:ind w:left="288"/>
      </w:pPr>
      <w:r>
        <w:rPr>
          <w:rFonts w:ascii="Calibri" w:hAnsi="Calibri"/>
          <w:b w:val="0"/>
          <w:i w:val="0"/>
          <w:color w:val="565656"/>
          <w:sz w:val="20"/>
        </w:rPr>
        <w:t>If a woman entitled to maternity benefit or any other amount dies before receiving it, [COMPANY NAME] pays it to the person she nominated in her notice, and if there is none, to her legal representative.</w:t>
      </w:r>
    </w:p>
    <w:p>
      <w:pPr>
        <w:keepNext w:val="0"/>
        <w:spacing w:after="60" w:before="0"/>
        <w:ind w:left="288"/>
      </w:pPr>
      <w:r>
        <w:rPr>
          <w:rFonts w:ascii="Calibri" w:hAnsi="Calibri"/>
          <w:b w:val="0"/>
          <w:i w:val="0"/>
          <w:color w:val="565656"/>
          <w:sz w:val="20"/>
        </w:rPr>
        <w:t>Where she dies during delivery or in the period following it, leaving the child, [COMPANY NAME] is liable for the benefit for the entire period; if the child also dies, up to and including the date of the child's death.</w:t>
      </w:r>
    </w:p>
    <w:p>
      <w:pPr>
        <w:keepNext w:val="0"/>
        <w:spacing w:after="60" w:before="0"/>
        <w:ind w:left="288"/>
      </w:pPr>
      <w:r>
        <w:rPr>
          <w:rFonts w:ascii="Calibri" w:hAnsi="Calibri"/>
          <w:b w:val="0"/>
          <w:i w:val="0"/>
          <w:color w:val="565656"/>
          <w:sz w:val="20"/>
        </w:rPr>
        <w:t>For the purposes of section 60(3), 'child' includes a STILLBORN CHILD. A woman who has been delivered of a stillborn child has been delivered of a child, and her twenty-six weeks are not cut short by it.</w:t>
      </w:r>
    </w:p>
    <w:p>
      <w:pPr>
        <w:keepNext w:val="0"/>
        <w:spacing w:after="60" w:before="0"/>
        <w:ind w:left="288"/>
      </w:pPr>
      <w:r>
        <w:rPr>
          <w:rFonts w:ascii="Calibri" w:hAnsi="Calibri"/>
          <w:b w:val="0"/>
          <w:i w:val="0"/>
          <w:color w:val="565656"/>
          <w:sz w:val="20"/>
        </w:rPr>
        <w:t>Where there is doubt about who should receive the money, [COMPANY NAME] does not hold on to it and does not choose between claimants. It is DEPOSITED WITH THE COMPETENT AUTHORITY WITHIN TWO MONTHS of the date of death, and the competent authority decides who is entitled to it.</w:t>
      </w:r>
    </w:p>
    <w:p>
      <w:pPr>
        <w:spacing w:after="120"/>
        <w:ind w:left="288"/>
      </w:pPr>
      <w:r>
        <w:rPr>
          <w:rFonts w:ascii="Calibri" w:hAnsi="Calibri"/>
          <w:b/>
          <w:color w:val="0069A4"/>
          <w:sz w:val="17"/>
        </w:rPr>
        <w:t xml:space="preserve">Rests on  </w:t>
      </w:r>
      <w:r>
        <w:rPr>
          <w:rFonts w:ascii="Calibri" w:hAnsi="Calibri"/>
          <w:i/>
          <w:color w:val="565656"/>
          <w:sz w:val="17"/>
        </w:rPr>
        <w:t>s.63, the second and third provisos to s.60(3), and the Explanation to s.60(3), which is the one that says 'child' includes a stillborn child. The deposit is rule 35(2)(b), and the two months runs from the date of death, not from the date the doubt arises</w:t>
      </w:r>
    </w:p>
    <w:p>
      <w:pPr>
        <w:pStyle w:val="Heading2"/>
        <w:keepNext/>
        <w:spacing w:after="60" w:before="160"/>
      </w:pPr>
      <w:r>
        <w:rPr>
          <w:rFonts w:ascii="Calibri" w:hAnsi="Calibri"/>
          <w:b/>
          <w:color w:val="1D1D1D"/>
          <w:sz w:val="21"/>
        </w:rPr>
        <w:t>18.  What we tell her, and what we display</w:t>
      </w:r>
    </w:p>
    <w:p>
      <w:pPr>
        <w:keepNext w:val="0"/>
        <w:spacing w:after="60" w:before="0"/>
        <w:ind w:left="288"/>
      </w:pPr>
      <w:r>
        <w:rPr>
          <w:rFonts w:ascii="Calibri" w:hAnsi="Calibri"/>
          <w:b w:val="0"/>
          <w:i w:val="0"/>
          <w:color w:val="565656"/>
          <w:sz w:val="20"/>
        </w:rPr>
        <w:t>Every woman is told in writing and electronically, at the time of her initial appointment, about every benefit available under this policy. The letter at Annexure B is that intimation.</w:t>
      </w:r>
    </w:p>
    <w:p>
      <w:pPr>
        <w:keepNext w:val="0"/>
        <w:spacing w:after="60" w:before="0"/>
        <w:ind w:left="288"/>
      </w:pPr>
      <w:r>
        <w:rPr>
          <w:rFonts w:ascii="Calibri" w:hAnsi="Calibri"/>
          <w:b w:val="0"/>
          <w:i w:val="0"/>
          <w:color w:val="565656"/>
          <w:sz w:val="20"/>
        </w:rPr>
        <w:t>An abstract of Chapter VI and the rules, in the language or languages of the locality, is displayed in a conspicuous place in every part of the establishment in which women are employed. It is in Form-XIV, which rule 40(4) prescribes, and Annexure C sets out both the form and what it leaves out.</w:t>
      </w:r>
    </w:p>
    <w:p>
      <w:pPr>
        <w:keepNext w:val="0"/>
        <w:spacing w:after="60" w:before="0"/>
        <w:ind w:left="288"/>
      </w:pPr>
      <w:r>
        <w:rPr>
          <w:rFonts w:ascii="Calibri" w:hAnsi="Calibri"/>
          <w:b w:val="0"/>
          <w:i w:val="0"/>
          <w:color w:val="565656"/>
          <w:sz w:val="20"/>
        </w:rPr>
        <w:t>[COMPANY NAME] maintains a Register of Women Employees in Form-XXII, with the twenty-three particulars listed at Annexure E, electronically or otherwise, in English and Hindi or the language understood by a majority of the employees, and uploads the annual return in Form-XXIII on or before the 28th or 29th of February each year.</w:t>
      </w:r>
    </w:p>
    <w:p>
      <w:pPr>
        <w:keepNext w:val="0"/>
        <w:spacing w:after="60" w:before="0"/>
        <w:ind w:left="288"/>
      </w:pPr>
      <w:r>
        <w:rPr>
          <w:rFonts w:ascii="Calibri" w:hAnsi="Calibri"/>
          <w:b w:val="0"/>
          <w:i w:val="0"/>
          <w:color w:val="565656"/>
          <w:sz w:val="20"/>
        </w:rPr>
        <w:t>[COMPANY NAME] supplies any woman, at her request and free of cost, copies of Form-X, Form-XI, Form-XII, Form-XIII-A and Form-XIII-B. Using the wrong form does not affect her right to anything under this policy.</w:t>
      </w:r>
    </w:p>
    <w:p>
      <w:pPr>
        <w:spacing w:after="120"/>
        <w:ind w:left="288"/>
      </w:pPr>
      <w:r>
        <w:rPr>
          <w:rFonts w:ascii="Calibri" w:hAnsi="Calibri"/>
          <w:b/>
          <w:color w:val="0069A4"/>
          <w:sz w:val="17"/>
        </w:rPr>
        <w:t xml:space="preserve">Rests on  </w:t>
      </w:r>
      <w:r>
        <w:rPr>
          <w:rFonts w:ascii="Calibri" w:hAnsi="Calibri"/>
          <w:i/>
          <w:color w:val="565656"/>
          <w:sz w:val="17"/>
        </w:rPr>
        <w:t>s.67(2), s.71 with rule 40(4), rule 53(1)(a)(iv) with rule 53(1)(b) and (c), rule 53(5)(a) for the return, and rule 40(2) for the free copies. Duties that are not leave, that fall due before anybody is pregnant, and that almost no policy carries</w:t>
      </w:r>
    </w:p>
    <w:p>
      <w:pPr>
        <w:pStyle w:val="Heading2"/>
        <w:keepNext/>
        <w:spacing w:after="60" w:before="160"/>
      </w:pPr>
      <w:r>
        <w:rPr>
          <w:rFonts w:ascii="Calibri" w:hAnsi="Calibri"/>
          <w:b/>
          <w:color w:val="1D1D1D"/>
          <w:sz w:val="21"/>
        </w:rPr>
        <w:t>19.  Her data</w:t>
      </w:r>
    </w:p>
    <w:p>
      <w:pPr>
        <w:keepNext w:val="0"/>
        <w:spacing w:after="60" w:before="0"/>
        <w:ind w:left="288"/>
      </w:pPr>
      <w:r>
        <w:rPr>
          <w:rFonts w:ascii="Calibri" w:hAnsi="Calibri"/>
          <w:b w:val="0"/>
          <w:i w:val="0"/>
          <w:color w:val="565656"/>
          <w:sz w:val="20"/>
        </w:rPr>
        <w:t>The register at Annexure E, the proofs behind it and the notices under clause 9 are personal data about identified people, and some of it is about their health. [COMPANY NAME] holds it under the Digital Personal Data Protection Act, 2023 as a Data Fiduciary.</w:t>
      </w:r>
    </w:p>
    <w:p>
      <w:pPr>
        <w:keepNext w:val="0"/>
        <w:spacing w:after="60" w:before="0"/>
        <w:ind w:left="288"/>
      </w:pPr>
      <w:r>
        <w:rPr>
          <w:rFonts w:ascii="Calibri" w:hAnsi="Calibri"/>
          <w:b w:val="0"/>
          <w:i w:val="0"/>
          <w:color w:val="565656"/>
          <w:sz w:val="20"/>
        </w:rPr>
        <w:t>No separate consent is collected for the register. Section 7(i) makes processing for the purposes of employment a legitimate use, and rule 53 requires the register to exist. For the same reason it is not deleted when a woman leaves: section 8(7) requires erasure once the purpose is served EXCEPT where retention is necessary for compliance with a law, and this retention is.</w:t>
      </w:r>
    </w:p>
    <w:p>
      <w:pPr>
        <w:keepNext w:val="0"/>
        <w:spacing w:after="60" w:before="0"/>
        <w:ind w:left="288"/>
      </w:pPr>
      <w:r>
        <w:rPr>
          <w:rFonts w:ascii="Calibri" w:hAnsi="Calibri"/>
          <w:b w:val="0"/>
          <w:i w:val="0"/>
          <w:color w:val="565656"/>
          <w:sz w:val="20"/>
        </w:rPr>
        <w:t>Access is limited to the people who administer this policy and to an Inspector-cum-Facilitator. Reasonable security safeguards are kept under section 8(5), and a personal data breach is notified under section 8(6). Where a payroll provider processes any of it, that does not move the responsibility: section 8(1) makes [COMPANY NAME] responsible irrespective of any agreement to the contrary.</w:t>
      </w:r>
    </w:p>
    <w:p>
      <w:pPr>
        <w:keepNext w:val="0"/>
        <w:spacing w:after="60" w:before="0"/>
        <w:ind w:left="288"/>
      </w:pPr>
      <w:r>
        <w:rPr>
          <w:rFonts w:ascii="Calibri" w:hAnsi="Calibri"/>
          <w:b w:val="0"/>
          <w:i w:val="0"/>
          <w:color w:val="565656"/>
          <w:sz w:val="20"/>
        </w:rPr>
        <w:t>One choice worth making deliberately. The Act reaches data collected in digital form, or collected on paper and digitised later. A register kept only on paper and never digitised is outside it; the moment it is scanned or typed up it is inside. Rule 53(1)(b) permits either.</w:t>
      </w:r>
    </w:p>
    <w:p>
      <w:pPr>
        <w:spacing w:after="120"/>
        <w:ind w:left="288"/>
      </w:pPr>
      <w:r>
        <w:rPr>
          <w:rFonts w:ascii="Calibri" w:hAnsi="Calibri"/>
          <w:b/>
          <w:color w:val="0069A4"/>
          <w:sz w:val="17"/>
        </w:rPr>
        <w:t xml:space="preserve">Rests on  </w:t>
      </w:r>
      <w:r>
        <w:rPr>
          <w:rFonts w:ascii="Calibri" w:hAnsi="Calibri"/>
          <w:i/>
          <w:color w:val="565656"/>
          <w:sz w:val="17"/>
        </w:rPr>
        <w:t>Digital Personal Data Protection Act, 2023: s.3(a) on what the Act reaches, s.7(i) on employment as a legitimate use, s.8(1) on responsibility surviving any agreement, s.8(5) and s.8(6) on safeguards and breach, and s.8(7) with its carve-out for retention required by law. Read with rule 53 of the Social Security (Central) Rules, 2026 and rule 35(2)(a) on the nominee's Aadhaar</w:t>
      </w:r>
    </w:p>
    <w:p>
      <w:pPr>
        <w:pStyle w:val="Heading2"/>
        <w:keepNext/>
        <w:spacing w:after="60" w:before="160"/>
      </w:pPr>
      <w:r>
        <w:rPr>
          <w:rFonts w:ascii="Calibri" w:hAnsi="Calibri"/>
          <w:b/>
          <w:color w:val="1D1D1D"/>
          <w:sz w:val="21"/>
        </w:rPr>
        <w:t>20.  If she disagrees with us</w:t>
      </w:r>
    </w:p>
    <w:p>
      <w:pPr>
        <w:keepNext w:val="0"/>
        <w:spacing w:after="60" w:before="0"/>
        <w:ind w:left="288"/>
      </w:pPr>
      <w:r>
        <w:rPr>
          <w:rFonts w:ascii="Calibri" w:hAnsi="Calibri"/>
          <w:b w:val="0"/>
          <w:i w:val="0"/>
          <w:color w:val="565656"/>
          <w:sz w:val="20"/>
        </w:rPr>
        <w:t>A woman who claims that maternity benefit or any other amount has been improperly withheld, or that she has been discharged or dismissed during or on account of her absence, may complain in writing in Form-XIII-A to the Inspector-cum-Facilitator, who examines the records and passes an order within forty-five days. That order may be appealed to the competent authority in Form-XIII-B within thirty days.</w:t>
      </w:r>
    </w:p>
    <w:p>
      <w:pPr>
        <w:keepNext w:val="0"/>
        <w:spacing w:after="60" w:before="0"/>
        <w:ind w:left="288"/>
      </w:pPr>
      <w:r>
        <w:rPr>
          <w:rFonts w:ascii="Calibri" w:hAnsi="Calibri"/>
          <w:b w:val="0"/>
          <w:i w:val="0"/>
          <w:color w:val="565656"/>
          <w:sz w:val="20"/>
        </w:rPr>
        <w:t>[COMPANY NAME] will not treat the making of such a complaint as a disciplinary matter.</w:t>
      </w:r>
    </w:p>
    <w:p>
      <w:pPr>
        <w:spacing w:after="120"/>
        <w:ind w:left="288"/>
      </w:pPr>
      <w:r>
        <w:rPr>
          <w:rFonts w:ascii="Calibri" w:hAnsi="Calibri"/>
          <w:b/>
          <w:color w:val="0069A4"/>
          <w:sz w:val="17"/>
        </w:rPr>
        <w:t xml:space="preserve">Rests on  </w:t>
      </w:r>
      <w:r>
        <w:rPr>
          <w:rFonts w:ascii="Calibri" w:hAnsi="Calibri"/>
          <w:i/>
          <w:color w:val="565656"/>
          <w:sz w:val="17"/>
        </w:rPr>
        <w:t>s.72(1) to (4), with rules 39(1) and 39(2)</w:t>
      </w:r>
    </w:p>
    <w:p>
      <w:pPr>
        <w:pStyle w:val="Heading2"/>
        <w:keepNext/>
        <w:spacing w:after="60" w:before="160"/>
      </w:pPr>
      <w:r>
        <w:rPr>
          <w:rFonts w:ascii="Calibri" w:hAnsi="Calibri"/>
          <w:b/>
          <w:color w:val="1D1D1D"/>
          <w:sz w:val="21"/>
        </w:rPr>
        <w:t>21.  Review</w:t>
      </w:r>
    </w:p>
    <w:p>
      <w:pPr>
        <w:keepNext w:val="0"/>
        <w:spacing w:after="60" w:before="0"/>
        <w:ind w:left="288"/>
      </w:pPr>
      <w:r>
        <w:rPr>
          <w:rFonts w:ascii="Calibri" w:hAnsi="Calibri"/>
          <w:b w:val="0"/>
          <w:i w:val="0"/>
          <w:color w:val="565656"/>
          <w:sz w:val="20"/>
        </w:rPr>
        <w:t>This policy is reviewed on [REVIEW DATE] and whenever Chapter VI of the Code on Social Security, 2020 or the Social Security (Central) Rules, 2026 are amended.</w:t>
      </w:r>
    </w:p>
    <w:p>
      <w:pPr>
        <w:spacing w:after="120"/>
        <w:ind w:left="288"/>
      </w:pPr>
      <w:r>
        <w:rPr>
          <w:rFonts w:ascii="Calibri" w:hAnsi="Calibri"/>
          <w:b/>
          <w:color w:val="0069A4"/>
          <w:sz w:val="17"/>
        </w:rPr>
        <w:t xml:space="preserve">Rests on  </w:t>
      </w:r>
      <w:r>
        <w:rPr>
          <w:rFonts w:ascii="Calibri" w:hAnsi="Calibri"/>
          <w:i/>
          <w:color w:val="565656"/>
          <w:sz w:val="17"/>
        </w:rPr>
        <w:t>Housekeeping. The medical bonus and the creche numbers are the two most likely to move, because both are 'or such amount as may be prescribed'</w:t>
      </w:r>
    </w:p>
    <w:p>
      <w:r>
        <w:br w:type="page"/>
      </w:r>
    </w:p>
    <w:p>
      <w:pPr>
        <w:pStyle w:val="Heading1"/>
        <w:keepNext/>
        <w:spacing w:after="200" w:before="80"/>
        <w:ind w:left="115"/>
        <w:shd w:val="clear" w:fill="008CDB"/>
      </w:pPr>
      <w:r>
        <w:rPr>
          <w:rFonts w:ascii="Calibri" w:hAnsi="Calibri"/>
          <w:b/>
          <w:color w:val="FFFFFF"/>
          <w:sz w:val="22"/>
        </w:rPr>
        <w:t>Annexure A.  How long she gets</w:t>
      </w:r>
    </w:p>
    <w:p>
      <w:pPr>
        <w:keepNext w:val="0"/>
        <w:spacing w:after="120" w:before="0"/>
      </w:pPr>
      <w:r>
        <w:rPr>
          <w:rFonts w:ascii="Calibri" w:hAnsi="Calibri"/>
          <w:b w:val="0"/>
          <w:i w:val="0"/>
          <w:color w:val="565656"/>
          <w:sz w:val="20"/>
        </w:rPr>
        <w:t>Every row is a separate limb of the Code, and the second row is the one most policies leave out. Clause 3 of the policy refers to this table.</w:t>
      </w:r>
    </w:p>
    <w:tbl>
      <w:tblPr>
        <w:tblStyle w:val="TableGrid"/>
        <w:tblW w:type="auto" w:w="0"/>
        <w:tblLook w:firstColumn="1" w:firstRow="1" w:lastColumn="0" w:lastRow="0" w:noHBand="0" w:noVBand="1" w:val="04A0"/>
      </w:tblPr>
      <w:tblGrid>
        <w:gridCol w:w="2412"/>
        <w:gridCol w:w="2412"/>
        <w:gridCol w:w="2412"/>
        <w:gridCol w:w="2412"/>
      </w:tblGrid>
      <w:tr>
        <w:tc>
          <w:tcPr>
            <w:tcW w:type="dxa" w:w="3168"/>
            <w:shd w:val="clear" w:fill="008CDB"/>
          </w:tcPr>
          <w:p>
            <w:pPr>
              <w:spacing w:after="40" w:before="40"/>
              <w:shd w:val="clear" w:fill="008CDB"/>
            </w:pPr>
            <w:r/>
            <w:r>
              <w:rPr>
                <w:rFonts w:ascii="Calibri" w:hAnsi="Calibri"/>
                <w:b/>
                <w:color w:val="FFFFFF"/>
                <w:sz w:val="18"/>
              </w:rPr>
              <w:t>Her circumstances</w:t>
            </w:r>
          </w:p>
        </w:tc>
        <w:tc>
          <w:tcPr>
            <w:tcW w:type="dxa" w:w="1296"/>
            <w:shd w:val="clear" w:fill="008CDB"/>
          </w:tcPr>
          <w:p>
            <w:pPr>
              <w:spacing w:after="40" w:before="40"/>
              <w:shd w:val="clear" w:fill="008CDB"/>
            </w:pPr>
            <w:r/>
            <w:r>
              <w:rPr>
                <w:rFonts w:ascii="Calibri" w:hAnsi="Calibri"/>
                <w:b/>
                <w:color w:val="FFFFFF"/>
                <w:sz w:val="18"/>
              </w:rPr>
              <w:t>Period</w:t>
            </w:r>
          </w:p>
        </w:tc>
        <w:tc>
          <w:tcPr>
            <w:tcW w:type="dxa" w:w="3312"/>
            <w:shd w:val="clear" w:fill="008CDB"/>
          </w:tcPr>
          <w:p>
            <w:pPr>
              <w:spacing w:after="40" w:before="40"/>
              <w:shd w:val="clear" w:fill="008CDB"/>
            </w:pPr>
            <w:r/>
            <w:r>
              <w:rPr>
                <w:rFonts w:ascii="Calibri" w:hAnsi="Calibri"/>
                <w:b/>
                <w:color w:val="FFFFFF"/>
                <w:sz w:val="18"/>
              </w:rPr>
              <w:t>When it may start</w:t>
            </w:r>
          </w:p>
        </w:tc>
        <w:tc>
          <w:tcPr>
            <w:tcW w:type="dxa" w:w="2016"/>
            <w:shd w:val="clear" w:fill="008CDB"/>
          </w:tcPr>
          <w:p>
            <w:pPr>
              <w:spacing w:after="40" w:before="40"/>
              <w:shd w:val="clear" w:fill="008CDB"/>
            </w:pPr>
            <w:r/>
            <w:r>
              <w:rPr>
                <w:rFonts w:ascii="Calibri" w:hAnsi="Calibri"/>
                <w:b/>
                <w:color w:val="FFFFFF"/>
                <w:sz w:val="18"/>
              </w:rPr>
              <w:t>Provision</w:t>
            </w:r>
          </w:p>
        </w:tc>
      </w:tr>
      <w:tr>
        <w:tc>
          <w:tcPr>
            <w:tcW w:type="dxa" w:w="3168"/>
          </w:tcPr>
          <w:p>
            <w:pPr>
              <w:spacing w:after="40" w:before="40"/>
            </w:pPr>
            <w:r/>
            <w:r>
              <w:rPr>
                <w:rFonts w:ascii="Calibri" w:hAnsi="Calibri"/>
                <w:color w:val="565656"/>
                <w:sz w:val="18"/>
              </w:rPr>
              <w:t>First or second child</w:t>
            </w:r>
          </w:p>
        </w:tc>
        <w:tc>
          <w:tcPr>
            <w:tcW w:type="dxa" w:w="1296"/>
          </w:tcPr>
          <w:p>
            <w:pPr>
              <w:spacing w:after="40" w:before="40"/>
            </w:pPr>
            <w:r/>
            <w:r>
              <w:rPr>
                <w:rFonts w:ascii="Calibri" w:hAnsi="Calibri"/>
                <w:color w:val="565656"/>
                <w:sz w:val="18"/>
              </w:rPr>
              <w:t>26 weeks</w:t>
            </w:r>
          </w:p>
        </w:tc>
        <w:tc>
          <w:tcPr>
            <w:tcW w:type="dxa" w:w="3312"/>
          </w:tcPr>
          <w:p>
            <w:pPr>
              <w:spacing w:after="40" w:before="40"/>
            </w:pPr>
            <w:r/>
            <w:r>
              <w:rPr>
                <w:rFonts w:ascii="Calibri" w:hAnsi="Calibri"/>
                <w:color w:val="565656"/>
                <w:sz w:val="18"/>
              </w:rPr>
              <w:t>Not more than 8 before the expected date</w:t>
            </w:r>
          </w:p>
        </w:tc>
        <w:tc>
          <w:tcPr>
            <w:tcW w:type="dxa" w:w="2016"/>
          </w:tcPr>
          <w:p>
            <w:pPr>
              <w:spacing w:after="40" w:before="40"/>
            </w:pPr>
            <w:r/>
            <w:r>
              <w:rPr>
                <w:rFonts w:ascii="Calibri" w:hAnsi="Calibri"/>
                <w:color w:val="565656"/>
                <w:sz w:val="18"/>
              </w:rPr>
              <w:t>s.60(3)</w:t>
            </w:r>
          </w:p>
        </w:tc>
      </w:tr>
      <w:tr>
        <w:tc>
          <w:tcPr>
            <w:tcW w:type="dxa" w:w="3168"/>
          </w:tcPr>
          <w:p>
            <w:pPr>
              <w:spacing w:after="40" w:before="40"/>
            </w:pPr>
            <w:r/>
            <w:r>
              <w:rPr>
                <w:rFonts w:ascii="Calibri" w:hAnsi="Calibri"/>
                <w:color w:val="565656"/>
                <w:sz w:val="18"/>
              </w:rPr>
              <w:t>Two or more surviving children</w:t>
            </w:r>
          </w:p>
        </w:tc>
        <w:tc>
          <w:tcPr>
            <w:tcW w:type="dxa" w:w="1296"/>
          </w:tcPr>
          <w:p>
            <w:pPr>
              <w:spacing w:after="40" w:before="40"/>
            </w:pPr>
            <w:r/>
            <w:r>
              <w:rPr>
                <w:rFonts w:ascii="Calibri" w:hAnsi="Calibri"/>
                <w:color w:val="565656"/>
                <w:sz w:val="18"/>
              </w:rPr>
              <w:t>12 weeks</w:t>
            </w:r>
          </w:p>
        </w:tc>
        <w:tc>
          <w:tcPr>
            <w:tcW w:type="dxa" w:w="3312"/>
          </w:tcPr>
          <w:p>
            <w:pPr>
              <w:spacing w:after="40" w:before="40"/>
            </w:pPr>
            <w:r/>
            <w:r>
              <w:rPr>
                <w:rFonts w:ascii="Calibri" w:hAnsi="Calibri"/>
                <w:color w:val="565656"/>
                <w:sz w:val="18"/>
              </w:rPr>
              <w:t>Not more than 6 before the expected date</w:t>
            </w:r>
          </w:p>
        </w:tc>
        <w:tc>
          <w:tcPr>
            <w:tcW w:type="dxa" w:w="2016"/>
          </w:tcPr>
          <w:p>
            <w:pPr>
              <w:spacing w:after="40" w:before="40"/>
            </w:pPr>
            <w:r/>
            <w:r>
              <w:rPr>
                <w:rFonts w:ascii="Calibri" w:hAnsi="Calibri"/>
                <w:color w:val="565656"/>
                <w:sz w:val="18"/>
              </w:rPr>
              <w:t>s.60(3), first proviso</w:t>
            </w:r>
          </w:p>
        </w:tc>
      </w:tr>
      <w:tr>
        <w:tc>
          <w:tcPr>
            <w:tcW w:type="dxa" w:w="3168"/>
          </w:tcPr>
          <w:p>
            <w:pPr>
              <w:spacing w:after="40" w:before="40"/>
            </w:pPr>
            <w:r/>
            <w:r>
              <w:rPr>
                <w:rFonts w:ascii="Calibri" w:hAnsi="Calibri"/>
                <w:color w:val="565656"/>
                <w:sz w:val="18"/>
              </w:rPr>
              <w:t>Adopting a child below three months</w:t>
            </w:r>
          </w:p>
        </w:tc>
        <w:tc>
          <w:tcPr>
            <w:tcW w:type="dxa" w:w="1296"/>
          </w:tcPr>
          <w:p>
            <w:pPr>
              <w:spacing w:after="40" w:before="40"/>
            </w:pPr>
            <w:r/>
            <w:r>
              <w:rPr>
                <w:rFonts w:ascii="Calibri" w:hAnsi="Calibri"/>
                <w:color w:val="565656"/>
                <w:sz w:val="18"/>
              </w:rPr>
              <w:t>12 weeks</w:t>
            </w:r>
          </w:p>
        </w:tc>
        <w:tc>
          <w:tcPr>
            <w:tcW w:type="dxa" w:w="3312"/>
          </w:tcPr>
          <w:p>
            <w:pPr>
              <w:spacing w:after="40" w:before="40"/>
            </w:pPr>
            <w:r/>
            <w:r>
              <w:rPr>
                <w:rFonts w:ascii="Calibri" w:hAnsi="Calibri"/>
                <w:color w:val="565656"/>
                <w:sz w:val="18"/>
              </w:rPr>
              <w:t>From the date the child is handed over</w:t>
            </w:r>
          </w:p>
        </w:tc>
        <w:tc>
          <w:tcPr>
            <w:tcW w:type="dxa" w:w="2016"/>
          </w:tcPr>
          <w:p>
            <w:pPr>
              <w:spacing w:after="40" w:before="40"/>
            </w:pPr>
            <w:r/>
            <w:r>
              <w:rPr>
                <w:rFonts w:ascii="Calibri" w:hAnsi="Calibri"/>
                <w:color w:val="565656"/>
                <w:sz w:val="18"/>
              </w:rPr>
              <w:t>s.60(4)</w:t>
            </w:r>
          </w:p>
        </w:tc>
      </w:tr>
      <w:tr>
        <w:tc>
          <w:tcPr>
            <w:tcW w:type="dxa" w:w="3168"/>
          </w:tcPr>
          <w:p>
            <w:pPr>
              <w:spacing w:after="40" w:before="40"/>
            </w:pPr>
            <w:r/>
            <w:r>
              <w:rPr>
                <w:rFonts w:ascii="Calibri" w:hAnsi="Calibri"/>
                <w:color w:val="565656"/>
                <w:sz w:val="18"/>
              </w:rPr>
              <w:t>Commissioning mother</w:t>
            </w:r>
          </w:p>
        </w:tc>
        <w:tc>
          <w:tcPr>
            <w:tcW w:type="dxa" w:w="1296"/>
          </w:tcPr>
          <w:p>
            <w:pPr>
              <w:spacing w:after="40" w:before="40"/>
            </w:pPr>
            <w:r/>
            <w:r>
              <w:rPr>
                <w:rFonts w:ascii="Calibri" w:hAnsi="Calibri"/>
                <w:color w:val="565656"/>
                <w:sz w:val="18"/>
              </w:rPr>
              <w:t>12 weeks</w:t>
            </w:r>
          </w:p>
        </w:tc>
        <w:tc>
          <w:tcPr>
            <w:tcW w:type="dxa" w:w="3312"/>
          </w:tcPr>
          <w:p>
            <w:pPr>
              <w:spacing w:after="40" w:before="40"/>
            </w:pPr>
            <w:r/>
            <w:r>
              <w:rPr>
                <w:rFonts w:ascii="Calibri" w:hAnsi="Calibri"/>
                <w:color w:val="565656"/>
                <w:sz w:val="18"/>
              </w:rPr>
              <w:t>From the date the child is handed over</w:t>
            </w:r>
          </w:p>
        </w:tc>
        <w:tc>
          <w:tcPr>
            <w:tcW w:type="dxa" w:w="2016"/>
          </w:tcPr>
          <w:p>
            <w:pPr>
              <w:spacing w:after="40" w:before="40"/>
            </w:pPr>
            <w:r/>
            <w:r>
              <w:rPr>
                <w:rFonts w:ascii="Calibri" w:hAnsi="Calibri"/>
                <w:color w:val="565656"/>
                <w:sz w:val="18"/>
              </w:rPr>
              <w:t>s.60(4)</w:t>
            </w:r>
          </w:p>
        </w:tc>
      </w:tr>
      <w:tr>
        <w:tc>
          <w:tcPr>
            <w:tcW w:type="dxa" w:w="3168"/>
          </w:tcPr>
          <w:p>
            <w:pPr>
              <w:spacing w:after="40" w:before="40"/>
            </w:pPr>
            <w:r/>
            <w:r>
              <w:rPr>
                <w:rFonts w:ascii="Calibri" w:hAnsi="Calibri"/>
                <w:color w:val="565656"/>
                <w:sz w:val="18"/>
              </w:rPr>
              <w:t>Miscarriage or medical termination</w:t>
            </w:r>
          </w:p>
        </w:tc>
        <w:tc>
          <w:tcPr>
            <w:tcW w:type="dxa" w:w="1296"/>
          </w:tcPr>
          <w:p>
            <w:pPr>
              <w:spacing w:after="40" w:before="40"/>
            </w:pPr>
            <w:r/>
            <w:r>
              <w:rPr>
                <w:rFonts w:ascii="Calibri" w:hAnsi="Calibri"/>
                <w:color w:val="565656"/>
                <w:sz w:val="18"/>
              </w:rPr>
              <w:t>6 weeks</w:t>
            </w:r>
          </w:p>
        </w:tc>
        <w:tc>
          <w:tcPr>
            <w:tcW w:type="dxa" w:w="3312"/>
          </w:tcPr>
          <w:p>
            <w:pPr>
              <w:spacing w:after="40" w:before="40"/>
            </w:pPr>
            <w:r/>
            <w:r>
              <w:rPr>
                <w:rFonts w:ascii="Calibri" w:hAnsi="Calibri"/>
                <w:color w:val="565656"/>
                <w:sz w:val="18"/>
              </w:rPr>
              <w:t>Immediately following that day</w:t>
            </w:r>
          </w:p>
        </w:tc>
        <w:tc>
          <w:tcPr>
            <w:tcW w:type="dxa" w:w="2016"/>
          </w:tcPr>
          <w:p>
            <w:pPr>
              <w:spacing w:after="40" w:before="40"/>
            </w:pPr>
            <w:r/>
            <w:r>
              <w:rPr>
                <w:rFonts w:ascii="Calibri" w:hAnsi="Calibri"/>
                <w:color w:val="565656"/>
                <w:sz w:val="18"/>
              </w:rPr>
              <w:t>s.65(1)</w:t>
            </w:r>
          </w:p>
        </w:tc>
      </w:tr>
      <w:tr>
        <w:tc>
          <w:tcPr>
            <w:tcW w:type="dxa" w:w="3168"/>
          </w:tcPr>
          <w:p>
            <w:pPr>
              <w:spacing w:after="40" w:before="40"/>
            </w:pPr>
            <w:r/>
            <w:r>
              <w:rPr>
                <w:rFonts w:ascii="Calibri" w:hAnsi="Calibri"/>
                <w:color w:val="565656"/>
                <w:sz w:val="18"/>
              </w:rPr>
              <w:t>Tubectomy</w:t>
            </w:r>
          </w:p>
        </w:tc>
        <w:tc>
          <w:tcPr>
            <w:tcW w:type="dxa" w:w="1296"/>
          </w:tcPr>
          <w:p>
            <w:pPr>
              <w:spacing w:after="40" w:before="40"/>
            </w:pPr>
            <w:r/>
            <w:r>
              <w:rPr>
                <w:rFonts w:ascii="Calibri" w:hAnsi="Calibri"/>
                <w:color w:val="565656"/>
                <w:sz w:val="18"/>
              </w:rPr>
              <w:t>2 weeks</w:t>
            </w:r>
          </w:p>
        </w:tc>
        <w:tc>
          <w:tcPr>
            <w:tcW w:type="dxa" w:w="3312"/>
          </w:tcPr>
          <w:p>
            <w:pPr>
              <w:spacing w:after="40" w:before="40"/>
            </w:pPr>
            <w:r/>
            <w:r>
              <w:rPr>
                <w:rFonts w:ascii="Calibri" w:hAnsi="Calibri"/>
                <w:color w:val="565656"/>
                <w:sz w:val="18"/>
              </w:rPr>
              <w:t>Immediately following that day</w:t>
            </w:r>
          </w:p>
        </w:tc>
        <w:tc>
          <w:tcPr>
            <w:tcW w:type="dxa" w:w="2016"/>
          </w:tcPr>
          <w:p>
            <w:pPr>
              <w:spacing w:after="40" w:before="40"/>
            </w:pPr>
            <w:r/>
            <w:r>
              <w:rPr>
                <w:rFonts w:ascii="Calibri" w:hAnsi="Calibri"/>
                <w:color w:val="565656"/>
                <w:sz w:val="18"/>
              </w:rPr>
              <w:t>s.65(2)</w:t>
            </w:r>
          </w:p>
        </w:tc>
      </w:tr>
      <w:tr>
        <w:tc>
          <w:tcPr>
            <w:tcW w:type="dxa" w:w="3168"/>
          </w:tcPr>
          <w:p>
            <w:pPr>
              <w:spacing w:after="40" w:before="40"/>
            </w:pPr>
            <w:r/>
            <w:r>
              <w:rPr>
                <w:rFonts w:ascii="Calibri" w:hAnsi="Calibri"/>
                <w:color w:val="565656"/>
                <w:sz w:val="18"/>
              </w:rPr>
              <w:t>Illness arising out of pregnancy, delivery, premature birth, miscarriage or termination</w:t>
            </w:r>
          </w:p>
        </w:tc>
        <w:tc>
          <w:tcPr>
            <w:tcW w:type="dxa" w:w="1296"/>
          </w:tcPr>
          <w:p>
            <w:pPr>
              <w:spacing w:after="40" w:before="40"/>
            </w:pPr>
            <w:r/>
            <w:r>
              <w:rPr>
                <w:rFonts w:ascii="Calibri" w:hAnsi="Calibri"/>
                <w:color w:val="565656"/>
                <w:sz w:val="18"/>
              </w:rPr>
              <w:t>1 month</w:t>
            </w:r>
          </w:p>
        </w:tc>
        <w:tc>
          <w:tcPr>
            <w:tcW w:type="dxa" w:w="3312"/>
          </w:tcPr>
          <w:p>
            <w:pPr>
              <w:spacing w:after="40" w:before="40"/>
            </w:pPr>
            <w:r/>
            <w:r>
              <w:rPr>
                <w:rFonts w:ascii="Calibri" w:hAnsi="Calibri"/>
                <w:color w:val="565656"/>
                <w:sz w:val="18"/>
              </w:rPr>
              <w:t>In addition to the absence under s.62, or the six weeks under s.65(1)</w:t>
            </w:r>
          </w:p>
        </w:tc>
        <w:tc>
          <w:tcPr>
            <w:tcW w:type="dxa" w:w="2016"/>
          </w:tcPr>
          <w:p>
            <w:pPr>
              <w:spacing w:after="40" w:before="40"/>
            </w:pPr>
            <w:r/>
            <w:r>
              <w:rPr>
                <w:rFonts w:ascii="Calibri" w:hAnsi="Calibri"/>
                <w:color w:val="565656"/>
                <w:sz w:val="18"/>
              </w:rPr>
              <w:t>s.65(3)</w:t>
            </w:r>
          </w:p>
        </w:tc>
      </w:tr>
    </w:tbl>
    <w:p>
      <w:pPr>
        <w:spacing w:after="80"/>
      </w:pPr>
    </w:p>
    <w:p>
      <w:pPr>
        <w:keepNext w:val="0"/>
        <w:spacing w:after="80" w:before="0"/>
        <w:ind w:left="216"/>
      </w:pPr>
      <w:r>
        <w:rPr>
          <w:rFonts w:ascii="Calibri" w:hAnsi="Calibri"/>
          <w:b w:val="0"/>
          <w:i w:val="0"/>
          <w:color w:val="565656"/>
          <w:sz w:val="19"/>
        </w:rPr>
        <w:t>The one month for illness in the last row is IN ADDITION to the absence allowed under section 62, or to the six weeks under section 65(1). Section 65(3) says so in terms. Note that section 65(3) does not list tubectomy among the causes of that illness, while rule 35(1)(a), Form-X and paragraph 5(c) of Form-XIV all do, so on this one point the Rules are wider than the Code.</w:t>
      </w:r>
    </w:p>
    <w:p>
      <w:pPr>
        <w:keepNext w:val="0"/>
        <w:spacing w:after="120" w:before="0"/>
        <w:ind w:left="216"/>
      </w:pPr>
      <w:r>
        <w:rPr>
          <w:rFonts w:ascii="Calibri" w:hAnsi="Calibri"/>
          <w:b w:val="0"/>
          <w:i w:val="0"/>
          <w:color w:val="565656"/>
          <w:sz w:val="19"/>
        </w:rPr>
        <w:t>The Code never defines 'commissioning mother' for Chapter VI. The only description of one is in the proviso to section 2(91), which opens 'for the purposes of Chapter IV' and describes her as a commissioning mother who as biological mother wishes to have a child and prefers to get the embryo implanted in any other woman. Section 60(4) uses the term without a definition of its own, so that description is the best guide there is rather than a definition that governs.</w:t>
      </w:r>
    </w:p>
    <w:p>
      <w:pPr>
        <w:keepNext w:val="0"/>
        <w:spacing w:after="160" w:before="0"/>
        <w:ind w:left="216"/>
      </w:pPr>
      <w:r>
        <w:rPr>
          <w:rFonts w:ascii="Calibri" w:hAnsi="Calibri"/>
          <w:b w:val="0"/>
          <w:i w:val="0"/>
          <w:color w:val="565656"/>
          <w:sz w:val="19"/>
        </w:rPr>
        <w:t>Two provisos to section 60(3) deal with death. If the woman dies during her leave, the benefit is payable up to and including the day of her death. If she dies after delivery leaving the child, it is payable for the whole period; if the child also dies, up to and including the day the child dies.</w:t>
      </w:r>
    </w:p>
    <w:p>
      <w:r>
        <w:br w:type="page"/>
      </w:r>
    </w:p>
    <w:p>
      <w:pPr>
        <w:pStyle w:val="Heading1"/>
        <w:keepNext/>
        <w:spacing w:after="200" w:before="80"/>
        <w:ind w:left="115"/>
        <w:shd w:val="clear" w:fill="008CDB"/>
      </w:pPr>
      <w:r>
        <w:rPr>
          <w:rFonts w:ascii="Calibri" w:hAnsi="Calibri"/>
          <w:b/>
          <w:color w:val="FFFFFF"/>
          <w:sz w:val="22"/>
        </w:rPr>
        <w:t>Annexure B.  The intimation owed at appointment</w:t>
      </w:r>
    </w:p>
    <w:p>
      <w:pPr>
        <w:keepNext w:val="0"/>
        <w:spacing w:after="160" w:before="0"/>
      </w:pPr>
      <w:r>
        <w:rPr>
          <w:rFonts w:ascii="Calibri" w:hAnsi="Calibri"/>
          <w:b w:val="0"/>
          <w:i w:val="0"/>
          <w:color w:val="565656"/>
          <w:sz w:val="20"/>
        </w:rPr>
        <w:t>Section 67(2) requires every establishment to intimate every benefit under Chapter VI to every woman, in writing AND electronically, at the time of her initial appointment. Hand this over and email it, and keep proof of both.</w:t>
      </w:r>
    </w:p>
    <w:p>
      <w:pPr>
        <w:keepNext w:val="0"/>
        <w:spacing w:after="80" w:before="0"/>
        <w:jc w:val="center"/>
      </w:pPr>
      <w:r>
        <w:rPr>
          <w:rFonts w:ascii="Calibri" w:hAnsi="Calibri"/>
          <w:b/>
          <w:i w:val="0"/>
          <w:color w:val="565656"/>
          <w:sz w:val="18"/>
        </w:rPr>
        <w:t>[ COMPANY LETTERHEAD ]</w:t>
      </w:r>
    </w:p>
    <w:p>
      <w:pPr>
        <w:spacing w:after="60"/>
      </w:pPr>
      <w:r>
        <w:rPr>
          <w:rFonts w:ascii="Calibri" w:hAnsi="Calibri"/>
          <w:b/>
          <w:color w:val="0069A4"/>
          <w:sz w:val="19"/>
        </w:rPr>
        <w:t xml:space="preserve">Ref  </w:t>
      </w:r>
      <w:r>
        <w:rPr>
          <w:rFonts w:ascii="Calibri" w:hAnsi="Calibri"/>
          <w:color w:val="565656"/>
          <w:sz w:val="19"/>
        </w:rPr>
        <w:t>[HR/2026-27/000]</w:t>
      </w:r>
    </w:p>
    <w:p>
      <w:pPr>
        <w:spacing w:after="60"/>
      </w:pPr>
      <w:r>
        <w:rPr>
          <w:rFonts w:ascii="Calibri" w:hAnsi="Calibri"/>
          <w:b/>
          <w:color w:val="0069A4"/>
          <w:sz w:val="19"/>
        </w:rPr>
        <w:t xml:space="preserve">Date  </w:t>
      </w:r>
      <w:r>
        <w:rPr>
          <w:rFonts w:ascii="Calibri" w:hAnsi="Calibri"/>
          <w:color w:val="565656"/>
          <w:sz w:val="19"/>
        </w:rPr>
        <w:t>[DD-MMM-YYYY]</w:t>
      </w:r>
    </w:p>
    <w:p>
      <w:pPr>
        <w:keepNext w:val="0"/>
        <w:spacing w:after="80" w:before="0"/>
      </w:pPr>
      <w:r>
        <w:rPr>
          <w:rFonts w:ascii="Calibri" w:hAnsi="Calibri"/>
          <w:b w:val="0"/>
          <w:i w:val="0"/>
          <w:color w:val="1D1D1D"/>
          <w:sz w:val="21"/>
        </w:rPr>
      </w:r>
    </w:p>
    <w:p>
      <w:pPr>
        <w:keepNext w:val="0"/>
        <w:spacing w:after="20" w:before="0"/>
      </w:pPr>
      <w:r>
        <w:rPr>
          <w:rFonts w:ascii="Calibri" w:hAnsi="Calibri"/>
          <w:b w:val="0"/>
          <w:i w:val="0"/>
          <w:color w:val="565656"/>
          <w:sz w:val="19"/>
        </w:rPr>
        <w:t>[EMPLOYEE NAME]</w:t>
      </w:r>
    </w:p>
    <w:p>
      <w:pPr>
        <w:keepNext w:val="0"/>
        <w:spacing w:after="20" w:before="0"/>
      </w:pPr>
      <w:r>
        <w:rPr>
          <w:rFonts w:ascii="Calibri" w:hAnsi="Calibri"/>
          <w:b w:val="0"/>
          <w:i w:val="0"/>
          <w:color w:val="565656"/>
          <w:sz w:val="19"/>
        </w:rPr>
        <w:t>[DESIGNATION], [DEPARTMENT]</w:t>
      </w:r>
    </w:p>
    <w:p>
      <w:pPr>
        <w:keepNext w:val="0"/>
        <w:spacing w:after="20" w:before="0"/>
      </w:pPr>
      <w:r>
        <w:rPr>
          <w:rFonts w:ascii="Calibri" w:hAnsi="Calibri"/>
          <w:b w:val="0"/>
          <w:i w:val="0"/>
          <w:color w:val="565656"/>
          <w:sz w:val="19"/>
        </w:rPr>
        <w:t>[EMPLOYEE CODE]</w:t>
      </w:r>
    </w:p>
    <w:p>
      <w:pPr>
        <w:keepNext w:val="0"/>
        <w:spacing w:after="80" w:before="0"/>
      </w:pPr>
      <w:r>
        <w:rPr>
          <w:rFonts w:ascii="Calibri" w:hAnsi="Calibri"/>
          <w:b w:val="0"/>
          <w:i w:val="0"/>
          <w:color w:val="1D1D1D"/>
          <w:sz w:val="21"/>
        </w:rPr>
      </w:r>
    </w:p>
    <w:p>
      <w:pPr>
        <w:keepNext w:val="0"/>
        <w:spacing w:after="120" w:before="0"/>
      </w:pPr>
      <w:r>
        <w:rPr>
          <w:rFonts w:ascii="Calibri" w:hAnsi="Calibri"/>
          <w:b/>
          <w:i w:val="0"/>
          <w:color w:val="1D1D1D"/>
          <w:sz w:val="20"/>
        </w:rPr>
        <w:t>Subject: Maternity benefits available to you under Chapter VI of the Code on Social Security, 2020</w:t>
      </w:r>
    </w:p>
    <w:p>
      <w:pPr>
        <w:keepNext w:val="0"/>
        <w:spacing w:after="80" w:before="0"/>
      </w:pPr>
      <w:r>
        <w:rPr>
          <w:rFonts w:ascii="Calibri" w:hAnsi="Calibri"/>
          <w:b w:val="0"/>
          <w:i w:val="0"/>
          <w:color w:val="565656"/>
          <w:sz w:val="20"/>
        </w:rPr>
        <w:t>Dear [EMPLOYEE NAME],</w:t>
      </w:r>
    </w:p>
    <w:p>
      <w:pPr>
        <w:keepNext w:val="0"/>
        <w:spacing w:after="80" w:before="0"/>
      </w:pPr>
      <w:r>
        <w:rPr>
          <w:rFonts w:ascii="Calibri" w:hAnsi="Calibri"/>
          <w:b w:val="0"/>
          <w:i w:val="0"/>
          <w:color w:val="565656"/>
          <w:sz w:val="19"/>
        </w:rPr>
        <w:t>Welcome to [COMPANY NAME]. This letter is given to you at the time of your appointment because section 67(2) of the Code on Social Security, 2020 requires us to intimate to you, in writing and electronically, every benefit available to you under Chapter VI of that Code. A copy has also been sent to your registered email address.</w:t>
      </w:r>
    </w:p>
    <w:p>
      <w:pPr>
        <w:keepNext w:val="0"/>
        <w:spacing w:after="80" w:before="0"/>
      </w:pPr>
      <w:r>
        <w:rPr>
          <w:rFonts w:ascii="Calibri" w:hAnsi="Calibri"/>
          <w:b w:val="0"/>
          <w:i w:val="0"/>
          <w:color w:val="565656"/>
          <w:sz w:val="19"/>
        </w:rPr>
        <w:t>You do not have to be pregnant, or expect to be, for this letter to be owed to you. It is owed on the day you join.</w:t>
      </w:r>
    </w:p>
    <w:p>
      <w:pPr>
        <w:keepNext w:val="0"/>
        <w:spacing w:after="80" w:before="0"/>
      </w:pPr>
      <w:r>
        <w:rPr>
          <w:rFonts w:ascii="Calibri" w:hAnsi="Calibri"/>
          <w:b w:val="0"/>
          <w:i w:val="0"/>
          <w:color w:val="565656"/>
          <w:sz w:val="19"/>
        </w:rPr>
        <w:t>Summarised below is what the Code gives you. The full policy is at [LOCATION OF POLICY], and an abstract of the chapter is displayed at [LOCATION OF NOTICE BOARD].</w:t>
      </w:r>
    </w:p>
    <w:p>
      <w:pPr>
        <w:keepNext w:val="0"/>
        <w:spacing w:after="60" w:before="0"/>
      </w:pPr>
      <w:r>
        <w:rPr>
          <w:rFonts w:ascii="Calibri" w:hAnsi="Calibri"/>
          <w:b/>
          <w:i w:val="0"/>
          <w:color w:val="1D1D1D"/>
          <w:sz w:val="19"/>
        </w:rPr>
        <w:t>What the Code gives you:</w:t>
      </w:r>
    </w:p>
    <w:p>
      <w:pPr>
        <w:keepNext w:val="0"/>
        <w:spacing w:after="60" w:before="0"/>
        <w:ind w:left="288"/>
      </w:pPr>
      <w:r>
        <w:rPr>
          <w:rFonts w:ascii="Calibri" w:hAnsi="Calibri"/>
          <w:b w:val="0"/>
          <w:i w:val="0"/>
          <w:color w:val="565656"/>
          <w:sz w:val="19"/>
        </w:rPr>
        <w:t>•  Maternity benefit at your average daily wage, never below the minimum wage, once you have worked eighty days in the twelve months before your expected date of delivery</w:t>
      </w:r>
    </w:p>
    <w:p>
      <w:pPr>
        <w:keepNext w:val="0"/>
        <w:spacing w:after="60" w:before="0"/>
        <w:ind w:left="288"/>
      </w:pPr>
      <w:r>
        <w:rPr>
          <w:rFonts w:ascii="Calibri" w:hAnsi="Calibri"/>
          <w:b w:val="0"/>
          <w:i w:val="0"/>
          <w:color w:val="565656"/>
          <w:sz w:val="19"/>
        </w:rPr>
        <w:t>•  The amount for the period before delivery paid in advance, and the balance within forty-eight hours of proof of delivery</w:t>
      </w:r>
    </w:p>
    <w:p>
      <w:pPr>
        <w:keepNext w:val="0"/>
        <w:spacing w:after="60" w:before="0"/>
        <w:ind w:left="288"/>
      </w:pPr>
      <w:r>
        <w:rPr>
          <w:rFonts w:ascii="Calibri" w:hAnsi="Calibri"/>
          <w:b w:val="0"/>
          <w:i w:val="0"/>
          <w:color w:val="565656"/>
          <w:sz w:val="19"/>
        </w:rPr>
        <w:t>•  A medical bonus of ₹3,500, unless we provide you free pre-natal, confinement and post-natal care</w:t>
      </w:r>
    </w:p>
    <w:p>
      <w:pPr>
        <w:keepNext w:val="0"/>
        <w:spacing w:after="60" w:before="0"/>
        <w:ind w:left="288"/>
      </w:pPr>
      <w:r>
        <w:rPr>
          <w:rFonts w:ascii="Calibri" w:hAnsi="Calibri"/>
          <w:b w:val="0"/>
          <w:i w:val="0"/>
          <w:color w:val="565656"/>
          <w:sz w:val="19"/>
        </w:rPr>
        <w:t>•  Six weeks after a miscarriage or a medical termination, two weeks after a tubectomy, and a further month for illness arising out of any of these</w:t>
      </w:r>
    </w:p>
    <w:p>
      <w:pPr>
        <w:keepNext w:val="0"/>
        <w:spacing w:after="60" w:before="0"/>
        <w:ind w:left="288"/>
      </w:pPr>
      <w:r>
        <w:rPr>
          <w:rFonts w:ascii="Calibri" w:hAnsi="Calibri"/>
          <w:b w:val="0"/>
          <w:i w:val="0"/>
          <w:color w:val="565656"/>
          <w:sz w:val="19"/>
        </w:rPr>
        <w:t>•  Two nursing breaks of fifteen minutes a day, plus travel time, until your child is fifteen months old, with no deduction from your wages</w:t>
      </w:r>
    </w:p>
    <w:p>
      <w:pPr>
        <w:keepNext w:val="0"/>
        <w:spacing w:after="60" w:before="0"/>
        <w:ind w:left="288"/>
      </w:pPr>
      <w:r>
        <w:rPr>
          <w:rFonts w:ascii="Calibri" w:hAnsi="Calibri"/>
          <w:b w:val="0"/>
          <w:i w:val="0"/>
          <w:color w:val="565656"/>
          <w:sz w:val="19"/>
        </w:rPr>
        <w:t>•  Lighter work on request in the month before the six weeks preceding your delivery, with no deduction from your wages</w:t>
      </w:r>
    </w:p>
    <w:p>
      <w:pPr>
        <w:keepNext w:val="0"/>
        <w:spacing w:after="60" w:before="0"/>
        <w:ind w:left="288"/>
      </w:pPr>
      <w:r>
        <w:rPr>
          <w:rFonts w:ascii="Calibri" w:hAnsi="Calibri"/>
          <w:b w:val="0"/>
          <w:i w:val="0"/>
          <w:color w:val="565656"/>
          <w:sz w:val="19"/>
        </w:rPr>
        <w:t>•  Protection from discharge or dismissal during your absence, and from any change in your conditions of service to your disadvantage</w:t>
      </w:r>
    </w:p>
    <w:p>
      <w:pPr>
        <w:keepNext w:val="0"/>
        <w:spacing w:after="60" w:before="0"/>
        <w:ind w:left="288"/>
      </w:pPr>
      <w:r>
        <w:rPr>
          <w:rFonts w:ascii="Calibri" w:hAnsi="Calibri"/>
          <w:b w:val="0"/>
          <w:i w:val="0"/>
          <w:color w:val="565656"/>
          <w:sz w:val="19"/>
        </w:rPr>
        <w:t>•  Copies of Form-X, Form-XI, Form-XII, Form-XIII-A and Form-XIII-B, free of cost, whenever you ask for them</w:t>
      </w:r>
    </w:p>
    <w:p>
      <w:pPr>
        <w:keepNext w:val="0"/>
        <w:spacing w:after="80" w:before="0"/>
      </w:pPr>
      <w:r>
        <w:rPr>
          <w:rFonts w:ascii="Calibri" w:hAnsi="Calibri"/>
          <w:b w:val="0"/>
          <w:i w:val="0"/>
          <w:color w:val="1D1D1D"/>
          <w:sz w:val="21"/>
        </w:rPr>
      </w:r>
    </w:p>
    <w:p>
      <w:pPr>
        <w:keepNext w:val="0"/>
        <w:spacing w:after="120" w:before="0"/>
      </w:pPr>
      <w:r>
        <w:rPr>
          <w:rFonts w:ascii="Calibri" w:hAnsi="Calibri"/>
          <w:b w:val="0"/>
          <w:i w:val="0"/>
          <w:color w:val="565656"/>
          <w:sz w:val="19"/>
        </w:rPr>
        <w:t>If any of this is withheld from you, you may complain to the Inspector-cum-Facilitator. You will not be treated adversely for doing so.</w:t>
      </w:r>
    </w:p>
    <w:p>
      <w:pPr>
        <w:keepNext w:val="0"/>
        <w:spacing w:after="280" w:before="0"/>
      </w:pPr>
      <w:r>
        <w:rPr>
          <w:rFonts w:ascii="Calibri" w:hAnsi="Calibri"/>
          <w:b w:val="0"/>
          <w:i w:val="0"/>
          <w:color w:val="565656"/>
          <w:sz w:val="19"/>
        </w:rPr>
        <w:t>Yours sincerely,</w:t>
      </w:r>
    </w:p>
    <w:p>
      <w:pPr>
        <w:keepNext w:val="0"/>
        <w:spacing w:after="20" w:before="0"/>
      </w:pPr>
      <w:r>
        <w:rPr>
          <w:rFonts w:ascii="Calibri" w:hAnsi="Calibri"/>
          <w:b/>
          <w:i w:val="0"/>
          <w:color w:val="1D1D1D"/>
          <w:sz w:val="19"/>
        </w:rPr>
        <w:t>[AUTHORISED SIGNATORY]</w:t>
      </w:r>
    </w:p>
    <w:p>
      <w:pPr>
        <w:keepNext w:val="0"/>
        <w:spacing w:after="120" w:before="0"/>
      </w:pPr>
      <w:r>
        <w:rPr>
          <w:rFonts w:ascii="Calibri" w:hAnsi="Calibri"/>
          <w:b w:val="0"/>
          <w:i w:val="0"/>
          <w:color w:val="565656"/>
          <w:sz w:val="18"/>
        </w:rPr>
        <w:t>[NAME]  ·  [DESIGNATION]  ·  For [COMPANY NAME]</w:t>
      </w:r>
    </w:p>
    <w:p>
      <w:pPr>
        <w:keepNext w:val="0"/>
        <w:spacing w:after="80" w:before="0"/>
      </w:pPr>
      <w:r>
        <w:rPr>
          <w:rFonts w:ascii="Calibri" w:hAnsi="Calibri"/>
          <w:b w:val="0"/>
          <w:i/>
          <w:color w:val="565656"/>
          <w:sz w:val="18"/>
        </w:rPr>
        <w:t>Acknowledged. [EMPLOYEE SIGNATURE] / [DATE].  A copy was also sent to [EMAIL ADDRESS] on [DD-MMM-YYYY].</w:t>
      </w:r>
    </w:p>
    <w:p>
      <w:pPr>
        <w:keepNext w:val="0"/>
        <w:spacing w:after="160" w:before="0"/>
      </w:pPr>
      <w:r>
        <w:rPr>
          <w:rFonts w:ascii="Calibri" w:hAnsi="Calibri"/>
          <w:b w:val="0"/>
          <w:i/>
          <w:color w:val="0069A4"/>
          <w:sz w:val="18"/>
        </w:rPr>
        <w:t>Note  Issue this at initial appointment, not at the point a woman tells you she is pregnant. Section 67(2) requires writing AND electronic intimation, so send the email as well as handing over the letter, and keep both. Where you employ fifty or more, add a line naming the creche and its timings.</w:t>
      </w:r>
    </w:p>
    <w:p>
      <w:r>
        <w:br w:type="page"/>
      </w:r>
    </w:p>
    <w:p>
      <w:pPr>
        <w:pStyle w:val="Heading1"/>
        <w:keepNext/>
        <w:spacing w:after="200" w:before="80"/>
        <w:ind w:left="115"/>
        <w:shd w:val="clear" w:fill="008CDB"/>
      </w:pPr>
      <w:r>
        <w:rPr>
          <w:rFonts w:ascii="Calibri" w:hAnsi="Calibri"/>
          <w:b/>
          <w:color w:val="FFFFFF"/>
          <w:sz w:val="22"/>
        </w:rPr>
        <w:t>Annexure C.  The abstract for display, and what it leaves out</w:t>
      </w:r>
    </w:p>
    <w:p>
      <w:pPr>
        <w:keepNext w:val="0"/>
        <w:spacing w:after="120" w:before="0"/>
      </w:pPr>
      <w:r>
        <w:rPr>
          <w:rFonts w:ascii="Calibri" w:hAnsi="Calibri"/>
          <w:b w:val="0"/>
          <w:i w:val="0"/>
          <w:color w:val="565656"/>
          <w:sz w:val="20"/>
        </w:rPr>
        <w:t>Section 71 requires an abstract of Chapter VI and the rules to be exhibited in a conspicuous place in every part of the establishment in which women are employed, in the language or languages of the locality. Rule 40(4) of the Social Security (Central) Rules, 2026 says that abstract SHALL BE IN FORM-XIV. So this is a prescribed document. Display Form-XIV, translated into the language of the locality, and do not substitute wording of your own.</w:t>
      </w:r>
    </w:p>
    <w:p>
      <w:pPr>
        <w:keepNext w:val="0"/>
        <w:spacing w:after="160" w:before="0"/>
      </w:pPr>
      <w:r>
        <w:rPr>
          <w:rFonts w:ascii="Calibri" w:hAnsi="Calibri"/>
          <w:b/>
          <w:i w:val="0"/>
          <w:color w:val="1D1D1D"/>
          <w:sz w:val="20"/>
        </w:rPr>
        <w:t>It is reproduced in full below, exactly as gazetted. Then read it, because it is drafted on the Maternity Benefit Act, 1961, which Chapter VI replaced on 21-Nov-2025.</w:t>
      </w:r>
    </w:p>
    <w:p>
      <w:pPr>
        <w:keepNext w:val="0"/>
        <w:spacing w:after="120" w:before="0"/>
        <w:jc w:val="center"/>
      </w:pPr>
      <w:r>
        <w:rPr>
          <w:rFonts w:ascii="Calibri" w:hAnsi="Calibri"/>
          <w:b/>
          <w:i w:val="0"/>
          <w:color w:val="1D1D1D"/>
          <w:sz w:val="20"/>
        </w:rPr>
        <w:t>FORM-XIV   [See rule 40(4)]   (Abstract for the Maternity Benefit, and the rules made under the Code on Social Security, 2020).</w:t>
      </w:r>
    </w:p>
    <w:p>
      <w:pPr>
        <w:spacing w:after="80"/>
        <w:ind w:left="720" w:hanging="720"/>
      </w:pPr>
      <w:r>
        <w:rPr>
          <w:rFonts w:ascii="Calibri" w:hAnsi="Calibri"/>
          <w:b/>
          <w:color w:val="1D1D1D"/>
          <w:sz w:val="18"/>
        </w:rPr>
        <w:t xml:space="preserve">1   </w:t>
      </w:r>
      <w:r>
        <w:rPr>
          <w:rFonts w:ascii="Calibri" w:hAnsi="Calibri"/>
          <w:color w:val="565656"/>
          <w:sz w:val="18"/>
        </w:rPr>
        <w:t>No employer shall knowingly employ a woman during the six weeks immediately following the day of her delivery/miscarriage/Medical termination of pregnancy and no woman shall work in any establishment during the said period.</w:t>
      </w:r>
    </w:p>
    <w:p>
      <w:pPr>
        <w:spacing w:after="80"/>
        <w:ind w:left="720" w:hanging="720"/>
      </w:pPr>
      <w:r>
        <w:rPr>
          <w:rFonts w:ascii="Calibri" w:hAnsi="Calibri"/>
          <w:b/>
          <w:color w:val="1D1D1D"/>
          <w:sz w:val="18"/>
        </w:rPr>
        <w:t xml:space="preserve">2   </w:t>
      </w:r>
      <w:r>
        <w:rPr>
          <w:rFonts w:ascii="Calibri" w:hAnsi="Calibri"/>
          <w:color w:val="565656"/>
          <w:sz w:val="18"/>
        </w:rPr>
        <w:t>No pregnant woman shall, on a request being made by her in this behalf, be required by her employer to do during the period of one month immediately preceding the period of six weeks before the date of her expected delivery and also for any period during this period of six weeks for which she does not avail of leave of absence, any work which is of an arduous nature or which involves long hours of standing, or which in way is likely to interfere with her pregnancy or the normal development of the foetus, or is likely to cause her miscarriage or otherwise to adversely affect her health.</w:t>
      </w:r>
    </w:p>
    <w:p>
      <w:pPr>
        <w:spacing w:after="80"/>
        <w:ind w:left="720" w:hanging="720"/>
      </w:pPr>
      <w:r>
        <w:rPr>
          <w:rFonts w:ascii="Calibri" w:hAnsi="Calibri"/>
          <w:b/>
          <w:color w:val="1D1D1D"/>
          <w:sz w:val="18"/>
        </w:rPr>
        <w:t xml:space="preserve">3 (a)   </w:t>
      </w:r>
      <w:r>
        <w:rPr>
          <w:rFonts w:ascii="Calibri" w:hAnsi="Calibri"/>
          <w:color w:val="565656"/>
          <w:sz w:val="18"/>
        </w:rPr>
        <w:t>Subject to the provisions of the Code, every woman who has actually worked in an establishment of the employer from whom she claims maternity benefit for a period of not less than eighty days, including the days during which she was laid off, shall be entitled to, and her employer shall be liable for, the payment of maternity benefit at the rate of her average daily wages, or the minimum rate of wage fixed or revised under the Code on Wages, 2019 (29 of 2019) or two hundred rupees a day, whichever is higher, for the period of her actual absence not exceeding six weeks immediately preceding the day of delivery and the remaining period immediately following that day:</w:t>
      </w:r>
    </w:p>
    <w:p>
      <w:pPr>
        <w:spacing w:after="80"/>
        <w:ind w:left="720" w:hanging="720"/>
      </w:pPr>
      <w:r>
        <w:rPr>
          <w:rFonts w:ascii="Calibri" w:hAnsi="Calibri"/>
          <w:color w:val="565656"/>
          <w:sz w:val="18"/>
        </w:rPr>
        <w:t>Provided that where a woman dies during the period for which maternity benefit is payable, to her, the benefit shall be payable only for the days up to and including the day of her death. However, where the woman having been delivered of a child, dies during her delivery or during the remaining period of maternity benefit leaving behind in either case the child, the employer shall be liable for the payment of maternity benefit for the entire period of maternity benefit following the day of her delivery but if the child also dies during the said period, then, for the days up to and including the day of the death of the child.</w:t>
      </w:r>
    </w:p>
    <w:p>
      <w:pPr>
        <w:spacing w:after="80"/>
        <w:ind w:left="720" w:hanging="720"/>
      </w:pPr>
      <w:r>
        <w:rPr>
          <w:rFonts w:ascii="Calibri" w:hAnsi="Calibri"/>
          <w:b/>
          <w:color w:val="1D1D1D"/>
          <w:sz w:val="18"/>
        </w:rPr>
        <w:t xml:space="preserve">3 (b)   </w:t>
      </w:r>
      <w:r>
        <w:rPr>
          <w:rFonts w:ascii="Calibri" w:hAnsi="Calibri"/>
          <w:color w:val="565656"/>
          <w:sz w:val="18"/>
        </w:rPr>
        <w:t>The amount of maternity benefit for the period preceding the date of her expected delivery shall be paid in advance by the employer to the woman on production of a certificate in Form-X stating that she is pregnant and is expected to be delivered of a child within six weeks of the date of production of the certificate, and the amount due for the subsequent period shall be paid by the employer to the woman within forty-eight hours of production of the certificate in Form-X stating that she has been delivered of a child or production of a certified extract from a Birth Register maintained under the provisions of any law for the time being in force.</w:t>
      </w:r>
    </w:p>
    <w:p>
      <w:pPr>
        <w:spacing w:after="80"/>
        <w:ind w:left="720" w:hanging="720"/>
      </w:pPr>
      <w:r>
        <w:rPr>
          <w:rFonts w:ascii="Calibri" w:hAnsi="Calibri"/>
          <w:b/>
          <w:color w:val="1D1D1D"/>
          <w:sz w:val="18"/>
        </w:rPr>
        <w:t xml:space="preserve">4 (a)   </w:t>
      </w:r>
      <w:r>
        <w:rPr>
          <w:rFonts w:ascii="Calibri" w:hAnsi="Calibri"/>
          <w:color w:val="565656"/>
          <w:sz w:val="18"/>
        </w:rPr>
        <w:t>Any woman employed in an establishment and entitled to maternity benefit under the provisions of the Code may give notice in writing in Form-XI to her employer, stating that her maternity benefit and any other amount to which she may be entitled under the Code may be paid to her or to such person as she may nominate in the notice and that she will not work in any establishment during the period for which she receives maternity benefit.</w:t>
      </w:r>
    </w:p>
    <w:p>
      <w:pPr>
        <w:spacing w:after="80"/>
        <w:ind w:left="720" w:hanging="720"/>
      </w:pPr>
      <w:r>
        <w:rPr>
          <w:rFonts w:ascii="Calibri" w:hAnsi="Calibri"/>
          <w:b/>
          <w:color w:val="1D1D1D"/>
          <w:sz w:val="18"/>
        </w:rPr>
        <w:t xml:space="preserve">4 (b)   </w:t>
      </w:r>
      <w:r>
        <w:rPr>
          <w:rFonts w:ascii="Calibri" w:hAnsi="Calibri"/>
          <w:color w:val="565656"/>
          <w:sz w:val="18"/>
        </w:rPr>
        <w:t>In the case of a woman who is pregnant, such notice shall state the date from which she will be absent from work, not being a date earlier than six weeks from the date of her expected delivery.</w:t>
      </w:r>
    </w:p>
    <w:p>
      <w:pPr>
        <w:spacing w:after="80"/>
        <w:ind w:left="720" w:hanging="720"/>
      </w:pPr>
      <w:r>
        <w:rPr>
          <w:rFonts w:ascii="Calibri" w:hAnsi="Calibri"/>
          <w:b/>
          <w:color w:val="1D1D1D"/>
          <w:sz w:val="18"/>
        </w:rPr>
        <w:t xml:space="preserve">4 (c)   </w:t>
      </w:r>
      <w:r>
        <w:rPr>
          <w:rFonts w:ascii="Calibri" w:hAnsi="Calibri"/>
          <w:color w:val="565656"/>
          <w:sz w:val="18"/>
        </w:rPr>
        <w:t>Any woman who has not given the notice when she was pregnant may give such notice as soon as possible after the delivery.</w:t>
      </w:r>
    </w:p>
    <w:p>
      <w:pPr>
        <w:spacing w:after="80"/>
        <w:ind w:left="720" w:hanging="720"/>
      </w:pPr>
      <w:r>
        <w:rPr>
          <w:rFonts w:ascii="Calibri" w:hAnsi="Calibri"/>
          <w:b/>
          <w:color w:val="1D1D1D"/>
          <w:sz w:val="18"/>
        </w:rPr>
        <w:t xml:space="preserve">4 (d)   </w:t>
      </w:r>
      <w:r>
        <w:rPr>
          <w:rFonts w:ascii="Calibri" w:hAnsi="Calibri"/>
          <w:color w:val="565656"/>
          <w:sz w:val="18"/>
        </w:rPr>
        <w:t>On receipt of the notice, the employer shall permit such woman to absent herself from establishment until the expiry of the remaining period of maternity benefit after the day of her delivery.</w:t>
      </w:r>
    </w:p>
    <w:p>
      <w:pPr>
        <w:spacing w:after="80"/>
        <w:ind w:left="720" w:hanging="720"/>
      </w:pPr>
      <w:r>
        <w:rPr>
          <w:rFonts w:ascii="Calibri" w:hAnsi="Calibri"/>
          <w:b/>
          <w:color w:val="1D1D1D"/>
          <w:sz w:val="18"/>
        </w:rPr>
        <w:t xml:space="preserve">5 (a)   </w:t>
      </w:r>
      <w:r>
        <w:rPr>
          <w:rFonts w:ascii="Calibri" w:hAnsi="Calibri"/>
          <w:color w:val="565656"/>
          <w:sz w:val="18"/>
        </w:rPr>
        <w:t>Every woman entitled to maternity benefit under the Code shall also be entitled to receive from her employer a medical bonus of rupees three thousand and five hundred, if no pre-natal, confinement and post-natal care is provided for by the employer free of charge. The medical bonus shall be paid along with the second installment of the maternity benefit.</w:t>
      </w:r>
    </w:p>
    <w:p>
      <w:pPr>
        <w:spacing w:after="80"/>
        <w:ind w:left="720" w:hanging="720"/>
      </w:pPr>
      <w:r>
        <w:rPr>
          <w:rFonts w:ascii="Calibri" w:hAnsi="Calibri"/>
          <w:b/>
          <w:color w:val="1D1D1D"/>
          <w:sz w:val="18"/>
        </w:rPr>
        <w:t xml:space="preserve">5 (b)   </w:t>
      </w:r>
      <w:r>
        <w:rPr>
          <w:rFonts w:ascii="Calibri" w:hAnsi="Calibri"/>
          <w:color w:val="565656"/>
          <w:sz w:val="18"/>
        </w:rPr>
        <w:t>In case of miscarriage/medical termination of pregnancy, a woman shall, on production of a certificate in Form-X be entitled to leave with wages at the rate of maternity benefit, for a period of six weeks immediately following the day of her miscarriage. The wages shall be paid within 48 hours of production of the certificate in Form-X.</w:t>
      </w:r>
    </w:p>
    <w:p>
      <w:pPr>
        <w:spacing w:after="80"/>
        <w:ind w:left="720" w:hanging="720"/>
      </w:pPr>
      <w:r>
        <w:rPr>
          <w:rFonts w:ascii="Calibri" w:hAnsi="Calibri"/>
          <w:b/>
          <w:color w:val="1D1D1D"/>
          <w:sz w:val="18"/>
        </w:rPr>
        <w:t xml:space="preserve">5 (c)   </w:t>
      </w:r>
      <w:r>
        <w:rPr>
          <w:rFonts w:ascii="Calibri" w:hAnsi="Calibri"/>
          <w:color w:val="565656"/>
          <w:sz w:val="18"/>
        </w:rPr>
        <w:t>A woman suffering from illness arising out of pregnancy, delivery, premature birth of child or miscarriage/ medical termination of pregnancy or tubectomy operation shall, on production of a certificate in Form-X, be entitled, in addition to the period of absence allowed to her on account of maternity or miscarriage/ medical termination of pregnancy or tubectomy operation, as the case may be, to leave with wages at the rate of maternity benefit for a maximum period of one month. The wages for the leave period shall be paid within 48 hours of the expiry of that period.</w:t>
      </w:r>
    </w:p>
    <w:p>
      <w:pPr>
        <w:spacing w:after="80"/>
        <w:ind w:left="720" w:hanging="720"/>
      </w:pPr>
      <w:r>
        <w:rPr>
          <w:rFonts w:ascii="Calibri" w:hAnsi="Calibri"/>
          <w:b/>
          <w:color w:val="1D1D1D"/>
          <w:sz w:val="18"/>
        </w:rPr>
        <w:t xml:space="preserve">6   </w:t>
      </w:r>
      <w:r>
        <w:rPr>
          <w:rFonts w:ascii="Calibri" w:hAnsi="Calibri"/>
          <w:color w:val="565656"/>
          <w:sz w:val="18"/>
        </w:rPr>
        <w:t>Every woman delivered of a child who returns to duty after such delivery shall, in addition to the interval for rest allowed to her, be allowed in the course of her daily work two breaks of 15 minutes' duration for nursing the child until the child attains the age of fifteen months. An extra sufficient period, depending upon the distance to be covered, shall be allowed for the purpose of the journey to and from the creche or the place where the children are left by women while on duty, provided that such extra period shall be upto 15 minutes.</w:t>
      </w:r>
    </w:p>
    <w:p>
      <w:pPr>
        <w:spacing w:after="80"/>
        <w:ind w:left="720" w:hanging="720"/>
      </w:pPr>
      <w:r>
        <w:rPr>
          <w:rFonts w:ascii="Calibri" w:hAnsi="Calibri"/>
          <w:b/>
          <w:color w:val="1D1D1D"/>
          <w:sz w:val="18"/>
        </w:rPr>
        <w:t xml:space="preserve">7 (1)   </w:t>
      </w:r>
      <w:r>
        <w:rPr>
          <w:rFonts w:ascii="Calibri" w:hAnsi="Calibri"/>
          <w:color w:val="565656"/>
          <w:sz w:val="18"/>
        </w:rPr>
        <w:t>When a woman absents herself from work in accordance with the provisions of the Code, it shall be unlawful for her employer to discharge or dismiss her during or on account of such absence or to give notice of discharge or dismissal on such a day that the notice will expire during such absence, or to vary to her disadvantage any of the conditions of her service.</w:t>
      </w:r>
    </w:p>
    <w:p>
      <w:pPr>
        <w:spacing w:after="80"/>
        <w:ind w:left="720" w:hanging="720"/>
      </w:pPr>
      <w:r>
        <w:rPr>
          <w:rFonts w:ascii="Calibri" w:hAnsi="Calibri"/>
          <w:b/>
          <w:color w:val="1D1D1D"/>
          <w:sz w:val="18"/>
        </w:rPr>
        <w:t xml:space="preserve">7 (2) (a)   </w:t>
      </w:r>
      <w:r>
        <w:rPr>
          <w:rFonts w:ascii="Calibri" w:hAnsi="Calibri"/>
          <w:color w:val="565656"/>
          <w:sz w:val="18"/>
        </w:rPr>
        <w:t>The discharge or dismissal of a woman at any time during her pregnancy, if the woman but for which discharge or dismissal would have been entitled to maternity benefit or medical bonus shall not have the effect of depriving her of the maternity benefit or medical bonus: Provided that where the dismissal is for one or more of the following acts, the employer may, by order in writing communicate to the woman, deprive her of the maternity benefit or medical bonus or both: (i) wilful destruction of employer's goods or property; (ii) assaulting any superior or co-employee at the place of work; (iii) criminal offence involving moral turpitude resulting in conviction in a Court of law; (iv) theft, fraud, or dishonesty in connection with the employer's business or property; and (v) wilful non-observance of safety measures or rules on the subject or wilful interference with safety devices or with fire-fighting equipment.</w:t>
      </w:r>
    </w:p>
    <w:p>
      <w:pPr>
        <w:spacing w:after="80"/>
        <w:ind w:left="720" w:hanging="720"/>
      </w:pPr>
      <w:r>
        <w:rPr>
          <w:rFonts w:ascii="Calibri" w:hAnsi="Calibri"/>
          <w:b/>
          <w:color w:val="1D1D1D"/>
          <w:sz w:val="18"/>
        </w:rPr>
        <w:t xml:space="preserve">7 (2) (b)   </w:t>
      </w:r>
      <w:r>
        <w:rPr>
          <w:rFonts w:ascii="Calibri" w:hAnsi="Calibri"/>
          <w:color w:val="565656"/>
          <w:sz w:val="18"/>
        </w:rPr>
        <w:t>Any woman deprived of maternity benefit or medical bonus or both, may within sixty days from the date on which the order of such deprivation is communicated to her, appeal in Form-XII to the Competent Authority and his decision on such appeal whether the woman should or should not be deprived of maternity benefit or medical bonus or both, shall be final.</w:t>
      </w:r>
    </w:p>
    <w:p>
      <w:pPr>
        <w:spacing w:after="80"/>
        <w:ind w:left="720" w:hanging="720"/>
      </w:pPr>
      <w:r>
        <w:rPr>
          <w:rFonts w:ascii="Calibri" w:hAnsi="Calibri"/>
          <w:b/>
          <w:color w:val="1D1D1D"/>
          <w:sz w:val="18"/>
        </w:rPr>
        <w:t xml:space="preserve">8   </w:t>
      </w:r>
      <w:r>
        <w:rPr>
          <w:rFonts w:ascii="Calibri" w:hAnsi="Calibri"/>
          <w:color w:val="565656"/>
          <w:sz w:val="18"/>
        </w:rPr>
        <w:t>If a woman works in any establishment after she has been permitted by her employer to absent herself under the provisions of the Code, she shall forfeit her claim to the maternity benefit for such period.</w:t>
      </w:r>
    </w:p>
    <w:p>
      <w:pPr>
        <w:spacing w:after="80"/>
        <w:ind w:left="720" w:hanging="720"/>
      </w:pPr>
      <w:r>
        <w:rPr>
          <w:rFonts w:ascii="Calibri" w:hAnsi="Calibri"/>
          <w:b/>
          <w:color w:val="1D1D1D"/>
          <w:sz w:val="18"/>
        </w:rPr>
        <w:t xml:space="preserve">9 (1)   </w:t>
      </w:r>
      <w:r>
        <w:rPr>
          <w:rFonts w:ascii="Calibri" w:hAnsi="Calibri"/>
          <w:color w:val="565656"/>
          <w:sz w:val="18"/>
        </w:rPr>
        <w:t>Any woman claiming the maternity benefit or any other amount to which she is entitled under the Code and any person claiming that payment due has been improperly withheld may make complaint to the Inspector-cum-Facilitators in writing in Form-XIII-A.</w:t>
      </w:r>
    </w:p>
    <w:p>
      <w:pPr>
        <w:spacing w:after="80"/>
        <w:ind w:left="720" w:hanging="720"/>
      </w:pPr>
      <w:r>
        <w:rPr>
          <w:rFonts w:ascii="Calibri" w:hAnsi="Calibri"/>
          <w:b/>
          <w:color w:val="1D1D1D"/>
          <w:sz w:val="18"/>
        </w:rPr>
        <w:t xml:space="preserve">9 (2)   </w:t>
      </w:r>
      <w:r>
        <w:rPr>
          <w:rFonts w:ascii="Calibri" w:hAnsi="Calibri"/>
          <w:color w:val="565656"/>
          <w:sz w:val="18"/>
        </w:rPr>
        <w:t>The Inspector-cum-Facilitators may, on his own motion or on receipt of a complaint in Form-XIII-A, make an inquiry or cause an enquiry to be made and if satisfied that payment has been wrongfully withheld, may direct the payment to be made in accordance with his orders.</w:t>
      </w:r>
    </w:p>
    <w:p>
      <w:pPr>
        <w:spacing w:after="80"/>
        <w:ind w:left="720" w:hanging="720"/>
      </w:pPr>
      <w:r>
        <w:rPr>
          <w:rFonts w:ascii="Calibri" w:hAnsi="Calibri"/>
          <w:b/>
          <w:color w:val="1D1D1D"/>
          <w:sz w:val="18"/>
        </w:rPr>
        <w:t xml:space="preserve">9 (3)   </w:t>
      </w:r>
      <w:r>
        <w:rPr>
          <w:rFonts w:ascii="Calibri" w:hAnsi="Calibri"/>
          <w:color w:val="565656"/>
          <w:sz w:val="18"/>
        </w:rPr>
        <w:t>Any person aggrieved by the decision of the Inspector-cum-Facilitator may, within, thirty days from the date on which such decision is communicated to such person, appeal in Form-XIII-B to the Authority prescribed by the appropriate Government.</w:t>
      </w:r>
    </w:p>
    <w:p>
      <w:pPr>
        <w:spacing w:after="80"/>
        <w:ind w:left="720" w:hanging="720"/>
      </w:pPr>
      <w:r>
        <w:rPr>
          <w:rFonts w:ascii="Calibri" w:hAnsi="Calibri"/>
          <w:b/>
          <w:color w:val="1D1D1D"/>
          <w:sz w:val="18"/>
        </w:rPr>
        <w:t xml:space="preserve">9 (4)   </w:t>
      </w:r>
      <w:r>
        <w:rPr>
          <w:rFonts w:ascii="Calibri" w:hAnsi="Calibri"/>
          <w:color w:val="565656"/>
          <w:sz w:val="18"/>
        </w:rPr>
        <w:t>The decision of Authority where an appeal has been preferred to him or of the Inspector-cum-Facilitator where no such appeal has been preferred, shall be final.</w:t>
      </w:r>
    </w:p>
    <w:p>
      <w:pPr>
        <w:spacing w:after="80"/>
        <w:ind w:left="720" w:hanging="720"/>
      </w:pPr>
      <w:r>
        <w:rPr>
          <w:rFonts w:ascii="Calibri" w:hAnsi="Calibri"/>
          <w:b/>
          <w:color w:val="1D1D1D"/>
          <w:sz w:val="18"/>
        </w:rPr>
        <w:t xml:space="preserve">10 (a)   </w:t>
      </w:r>
      <w:r>
        <w:rPr>
          <w:rFonts w:ascii="Calibri" w:hAnsi="Calibri"/>
          <w:color w:val="565656"/>
          <w:sz w:val="18"/>
        </w:rPr>
        <w:t>The employer shall supply to every woman employed by him at her request free of cost copies of Forms X, XI, XII, XIII-A and XIII-B.</w:t>
      </w:r>
    </w:p>
    <w:p>
      <w:pPr>
        <w:spacing w:after="80"/>
        <w:ind w:left="720" w:hanging="720"/>
      </w:pPr>
      <w:r>
        <w:rPr>
          <w:rFonts w:ascii="Calibri" w:hAnsi="Calibri"/>
          <w:b/>
          <w:color w:val="1D1D1D"/>
          <w:sz w:val="18"/>
        </w:rPr>
        <w:t xml:space="preserve">10 (b)   </w:t>
      </w:r>
      <w:r>
        <w:rPr>
          <w:rFonts w:ascii="Calibri" w:hAnsi="Calibri"/>
          <w:color w:val="565656"/>
          <w:sz w:val="18"/>
        </w:rPr>
        <w:t>The failure to submit a notice, appeal or complaint in the prescribed form shall not affect the right of a woman entitled to receive maternity benefit or any other amount due under the Code. Where a notice, appeal or complaint has been received in a form other than the prescribed form, the authority concerned shall within fifteen days of the receipt of such notice, appeal or complaint, require the woman to submit the notice, appeal or complaint, as the case may be in the prescribed form.</w:t>
      </w:r>
    </w:p>
    <w:p>
      <w:pPr>
        <w:spacing w:after="80"/>
        <w:ind w:left="720" w:hanging="720"/>
      </w:pPr>
      <w:r>
        <w:rPr>
          <w:rFonts w:ascii="Calibri" w:hAnsi="Calibri"/>
          <w:b/>
          <w:color w:val="1D1D1D"/>
          <w:sz w:val="18"/>
        </w:rPr>
        <w:t xml:space="preserve">11 (a) (1)   </w:t>
      </w:r>
      <w:r>
        <w:rPr>
          <w:rFonts w:ascii="Calibri" w:hAnsi="Calibri"/>
          <w:color w:val="565656"/>
          <w:sz w:val="18"/>
        </w:rPr>
        <w:t>The employer of the establishment in which women are employed shall prepare and maintain a register of women employees in Form-XXII and shall enter therein particulars of all women employees in the establishment.</w:t>
      </w:r>
    </w:p>
    <w:p>
      <w:pPr>
        <w:spacing w:after="80"/>
        <w:ind w:left="720" w:hanging="720"/>
      </w:pPr>
      <w:r>
        <w:rPr>
          <w:rFonts w:ascii="Calibri" w:hAnsi="Calibri"/>
          <w:b/>
          <w:color w:val="1D1D1D"/>
          <w:sz w:val="18"/>
        </w:rPr>
        <w:t xml:space="preserve">11 (a) (2)   </w:t>
      </w:r>
      <w:r>
        <w:rPr>
          <w:rFonts w:ascii="Calibri" w:hAnsi="Calibri"/>
          <w:color w:val="565656"/>
          <w:sz w:val="18"/>
        </w:rPr>
        <w:t>All entries in the register of women employees shall be made in ink and maintained up-to-date and it shall always be available for inspection by the Inspector-cum-Facilitator during working hours.</w:t>
      </w:r>
    </w:p>
    <w:p>
      <w:pPr>
        <w:spacing w:after="80"/>
        <w:ind w:left="720" w:hanging="720"/>
      </w:pPr>
      <w:r>
        <w:rPr>
          <w:rFonts w:ascii="Calibri" w:hAnsi="Calibri"/>
          <w:b/>
          <w:color w:val="1D1D1D"/>
          <w:sz w:val="18"/>
        </w:rPr>
        <w:t xml:space="preserve">11 (b)   </w:t>
      </w:r>
      <w:r>
        <w:rPr>
          <w:rFonts w:ascii="Calibri" w:hAnsi="Calibri"/>
          <w:color w:val="565656"/>
          <w:sz w:val="18"/>
        </w:rPr>
        <w:t>The employer to which the Code applies, on or before the 28th/29th day of February in each year, upload a unified annual return in Form-XXIII online on the web portal of the Central Government in the Ministry of Labour and Employment, giving information as to the particulars specified, in respect of the preceding year: Provided that during inspection, the Inspector-cum-Facilitator may require the production of accounts, books, register and other documents maintained in electronic form or otherwise.</w:t>
      </w:r>
    </w:p>
    <w:p>
      <w:pPr>
        <w:spacing w:after="80"/>
        <w:ind w:left="720" w:hanging="720"/>
      </w:pPr>
      <w:r>
        <w:rPr>
          <w:rFonts w:ascii="Calibri" w:hAnsi="Calibri"/>
          <w:color w:val="565656"/>
          <w:sz w:val="18"/>
        </w:rPr>
        <w:t>Explanation. The expression “electronic form” shall have the same meaning as assigned to it in clause (r) of section 2 of the Information Technology Act, 2000 (21 of 2000).</w:t>
      </w:r>
    </w:p>
    <w:p>
      <w:pPr>
        <w:keepNext w:val="0"/>
        <w:spacing w:after="200" w:before="0"/>
      </w:pPr>
      <w:r>
        <w:rPr>
          <w:rFonts w:ascii="Calibri" w:hAnsi="Calibri"/>
          <w:b w:val="0"/>
          <w:i/>
          <w:color w:val="0069A4"/>
          <w:sz w:val="17"/>
        </w:rPr>
        <w:t>End of Form-XIV.</w:t>
      </w:r>
    </w:p>
    <w:p>
      <w:pPr>
        <w:keepNext/>
        <w:spacing w:after="80" w:before="80"/>
      </w:pPr>
      <w:r>
        <w:rPr>
          <w:rFonts w:ascii="Calibri" w:hAnsi="Calibri"/>
          <w:b/>
          <w:i w:val="0"/>
          <w:color w:val="1D1D1D"/>
          <w:sz w:val="22"/>
        </w:rPr>
        <w:t>Three duties that are in Form-XIV and in nobody's policy</w:t>
      </w:r>
    </w:p>
    <w:p>
      <w:pPr>
        <w:keepNext/>
        <w:spacing w:after="40" w:before="0"/>
        <w:ind w:left="216"/>
      </w:pPr>
      <w:r>
        <w:rPr>
          <w:rFonts w:ascii="Calibri" w:hAnsi="Calibri"/>
          <w:b/>
          <w:i w:val="0"/>
          <w:color w:val="1D1D1D"/>
          <w:sz w:val="20"/>
        </w:rPr>
        <w:t>Give her the forms, free</w:t>
      </w:r>
    </w:p>
    <w:p>
      <w:pPr>
        <w:keepNext w:val="0"/>
        <w:spacing w:after="40" w:before="0"/>
        <w:ind w:left="216"/>
      </w:pPr>
      <w:r>
        <w:rPr>
          <w:rFonts w:ascii="Calibri" w:hAnsi="Calibri"/>
          <w:b w:val="0"/>
          <w:i w:val="0"/>
          <w:color w:val="565656"/>
          <w:sz w:val="19"/>
        </w:rPr>
        <w:t>Supply to every woman, at her request and free of cost, copies of Form-X, Form-XI, Form-XII, Form-XIII-A and Form-XIII-B.</w:t>
      </w:r>
    </w:p>
    <w:p>
      <w:pPr>
        <w:keepNext w:val="0"/>
        <w:spacing w:after="120" w:before="0"/>
        <w:ind w:left="216"/>
      </w:pPr>
      <w:r>
        <w:rPr>
          <w:rFonts w:ascii="Calibri" w:hAnsi="Calibri"/>
          <w:b w:val="0"/>
          <w:i/>
          <w:color w:val="0069A4"/>
          <w:sz w:val="17"/>
        </w:rPr>
        <w:t>Form-XIV para 10(a), and rule 40(2)</w:t>
      </w:r>
    </w:p>
    <w:p>
      <w:pPr>
        <w:keepNext/>
        <w:spacing w:after="40" w:before="0"/>
        <w:ind w:left="216"/>
      </w:pPr>
      <w:r>
        <w:rPr>
          <w:rFonts w:ascii="Calibri" w:hAnsi="Calibri"/>
          <w:b/>
          <w:i w:val="0"/>
          <w:color w:val="1D1D1D"/>
          <w:sz w:val="20"/>
        </w:rPr>
        <w:t>A wrong form is not a bar</w:t>
      </w:r>
    </w:p>
    <w:p>
      <w:pPr>
        <w:keepNext w:val="0"/>
        <w:spacing w:after="40" w:before="0"/>
        <w:ind w:left="216"/>
      </w:pPr>
      <w:r>
        <w:rPr>
          <w:rFonts w:ascii="Calibri" w:hAnsi="Calibri"/>
          <w:b w:val="0"/>
          <w:i w:val="0"/>
          <w:color w:val="565656"/>
          <w:sz w:val="19"/>
        </w:rPr>
        <w:t>Failure to submit a notice, appeal or complaint on the prescribed form does not affect her right to maternity benefit or any other amount. The authority has fifteen days to ask her to resubmit it correctly.</w:t>
      </w:r>
    </w:p>
    <w:p>
      <w:pPr>
        <w:keepNext w:val="0"/>
        <w:spacing w:after="120" w:before="0"/>
        <w:ind w:left="216"/>
      </w:pPr>
      <w:r>
        <w:rPr>
          <w:rFonts w:ascii="Calibri" w:hAnsi="Calibri"/>
          <w:b w:val="0"/>
          <w:i/>
          <w:color w:val="0069A4"/>
          <w:sz w:val="17"/>
        </w:rPr>
        <w:t>Form-XIV para 10(b)</w:t>
      </w:r>
    </w:p>
    <w:p>
      <w:pPr>
        <w:keepNext/>
        <w:spacing w:after="40" w:before="0"/>
        <w:ind w:left="216"/>
      </w:pPr>
      <w:r>
        <w:rPr>
          <w:rFonts w:ascii="Calibri" w:hAnsi="Calibri"/>
          <w:b/>
          <w:i w:val="0"/>
          <w:color w:val="1D1D1D"/>
          <w:sz w:val="20"/>
        </w:rPr>
        <w:t>File the annual return by the end of February</w:t>
      </w:r>
    </w:p>
    <w:p>
      <w:pPr>
        <w:keepNext w:val="0"/>
        <w:spacing w:after="40" w:before="0"/>
        <w:ind w:left="216"/>
      </w:pPr>
      <w:r>
        <w:rPr>
          <w:rFonts w:ascii="Calibri" w:hAnsi="Calibri"/>
          <w:b w:val="0"/>
          <w:i w:val="0"/>
          <w:color w:val="565656"/>
          <w:sz w:val="19"/>
        </w:rPr>
        <w:t>A unified annual return in Form-XXIII, uploaded on the Ministry of Labour and Employment web portal on or before the 28th or 29th of February each year, for the preceding year.</w:t>
      </w:r>
    </w:p>
    <w:p>
      <w:pPr>
        <w:keepNext w:val="0"/>
        <w:spacing w:after="120" w:before="0"/>
        <w:ind w:left="216"/>
      </w:pPr>
      <w:r>
        <w:rPr>
          <w:rFonts w:ascii="Calibri" w:hAnsi="Calibri"/>
          <w:b w:val="0"/>
          <w:i/>
          <w:color w:val="0069A4"/>
          <w:sz w:val="17"/>
        </w:rPr>
        <w:t>Form-XIV para 11(b), and rule 53(5)(a), which applies it to every employer covered by Chapter V or Chapter VI</w:t>
      </w:r>
    </w:p>
    <w:p>
      <w:pPr>
        <w:keepNext w:val="0"/>
        <w:spacing w:after="160" w:before="0"/>
        <w:ind w:left="216"/>
      </w:pPr>
      <w:r>
        <w:rPr>
          <w:rFonts w:ascii="Calibri" w:hAnsi="Calibri"/>
          <w:b w:val="0"/>
          <w:i w:val="0"/>
          <w:color w:val="565656"/>
          <w:sz w:val="19"/>
        </w:rPr>
        <w:t>One inconsistency inside the Rules, left as it stands because resolving it is not ours to do: paragraph 11(a)(2) of Form-XIV says entries in the register shall be made IN INK, while rule 53(1)(b) allows the register to be kept electronically or otherwise and paragraph 11(b) contemplates records kept in electronic form.</w:t>
      </w:r>
    </w:p>
    <w:p>
      <w:pPr>
        <w:keepNext/>
        <w:spacing w:after="80" w:before="80"/>
      </w:pPr>
      <w:r>
        <w:rPr>
          <w:rFonts w:ascii="Calibri" w:hAnsi="Calibri"/>
          <w:b/>
          <w:i w:val="0"/>
          <w:color w:val="1D1D1D"/>
          <w:sz w:val="22"/>
        </w:rPr>
        <w:t>What Form-XIV does not say</w:t>
      </w:r>
    </w:p>
    <w:tbl>
      <w:tblPr>
        <w:tblStyle w:val="TableGrid"/>
        <w:tblW w:type="auto" w:w="0"/>
        <w:tblLook w:firstColumn="1" w:firstRow="1" w:lastColumn="0" w:lastRow="0" w:noHBand="0" w:noVBand="1" w:val="04A0"/>
      </w:tblPr>
      <w:tblGrid>
        <w:gridCol w:w="4824"/>
        <w:gridCol w:w="4824"/>
      </w:tblGrid>
      <w:tr>
        <w:tc>
          <w:tcPr>
            <w:tcW w:type="dxa" w:w="6192"/>
            <w:shd w:val="clear" w:fill="008CDB"/>
          </w:tcPr>
          <w:p>
            <w:pPr>
              <w:spacing w:after="40" w:before="40"/>
              <w:shd w:val="clear" w:fill="008CDB"/>
            </w:pPr>
            <w:r/>
            <w:r>
              <w:rPr>
                <w:rFonts w:ascii="Calibri" w:hAnsi="Calibri"/>
                <w:b/>
                <w:color w:val="FFFFFF"/>
                <w:sz w:val="18"/>
              </w:rPr>
              <w:t>What Form-XIV does</w:t>
            </w:r>
          </w:p>
        </w:tc>
        <w:tc>
          <w:tcPr>
            <w:tcW w:type="dxa" w:w="3600"/>
            <w:shd w:val="clear" w:fill="008CDB"/>
          </w:tcPr>
          <w:p>
            <w:pPr>
              <w:spacing w:after="40" w:before="40"/>
              <w:shd w:val="clear" w:fill="008CDB"/>
            </w:pPr>
            <w:r/>
            <w:r>
              <w:rPr>
                <w:rFonts w:ascii="Calibri" w:hAnsi="Calibri"/>
                <w:b/>
                <w:color w:val="FFFFFF"/>
                <w:sz w:val="18"/>
              </w:rPr>
              <w:t>What the Code says</w:t>
            </w:r>
          </w:p>
        </w:tc>
      </w:tr>
      <w:tr>
        <w:tc>
          <w:tcPr>
            <w:tcW w:type="dxa" w:w="6192"/>
          </w:tcPr>
          <w:p>
            <w:pPr>
              <w:spacing w:after="40" w:before="40"/>
            </w:pPr>
            <w:r/>
            <w:r>
              <w:rPr>
                <w:rFonts w:ascii="Calibri" w:hAnsi="Calibri"/>
                <w:color w:val="565656"/>
                <w:sz w:val="18"/>
              </w:rPr>
              <w:t>It never mentions twenty-six weeks. Paragraph 3(a) gives the benefit for the period of her actual absence 'not exceeding six weeks immediately preceding the day of delivery and the remaining period immediately following that day'. The words twenty-six do not appear in the form at all.</w:t>
            </w:r>
          </w:p>
        </w:tc>
        <w:tc>
          <w:tcPr>
            <w:tcW w:type="dxa" w:w="3600"/>
          </w:tcPr>
          <w:p>
            <w:pPr>
              <w:spacing w:after="40" w:before="40"/>
            </w:pPr>
            <w:r/>
            <w:r>
              <w:rPr>
                <w:rFonts w:ascii="Calibri" w:hAnsi="Calibri"/>
                <w:color w:val="565656"/>
                <w:sz w:val="18"/>
              </w:rPr>
              <w:t>s.60(3) gives twenty-six weeks, of which not more than eight precede</w:t>
            </w:r>
          </w:p>
        </w:tc>
      </w:tr>
      <w:tr>
        <w:tc>
          <w:tcPr>
            <w:tcW w:type="dxa" w:w="6192"/>
          </w:tcPr>
          <w:p>
            <w:pPr>
              <w:spacing w:after="40" w:before="40"/>
            </w:pPr>
            <w:r/>
            <w:r>
              <w:rPr>
                <w:rFonts w:ascii="Calibri" w:hAnsi="Calibri"/>
                <w:color w:val="565656"/>
                <w:sz w:val="18"/>
              </w:rPr>
              <w:t>It says six weeks where the Code says eight. Paragraph 4(b) puts the notice date at 'not being a date earlier than six weeks from the date of her expected delivery'.</w:t>
            </w:r>
          </w:p>
        </w:tc>
        <w:tc>
          <w:tcPr>
            <w:tcW w:type="dxa" w:w="3600"/>
          </w:tcPr>
          <w:p>
            <w:pPr>
              <w:spacing w:after="40" w:before="40"/>
            </w:pPr>
            <w:r/>
            <w:r>
              <w:rPr>
                <w:rFonts w:ascii="Calibri" w:hAnsi="Calibri"/>
                <w:color w:val="565656"/>
                <w:sz w:val="18"/>
              </w:rPr>
              <w:t>s.62(2) says eight weeks, and the Code prevails over a form made under it</w:t>
            </w:r>
          </w:p>
        </w:tc>
      </w:tr>
      <w:tr>
        <w:tc>
          <w:tcPr>
            <w:tcW w:type="dxa" w:w="6192"/>
          </w:tcPr>
          <w:p>
            <w:pPr>
              <w:spacing w:after="40" w:before="40"/>
            </w:pPr>
            <w:r/>
            <w:r>
              <w:rPr>
                <w:rFonts w:ascii="Calibri" w:hAnsi="Calibri"/>
                <w:color w:val="565656"/>
                <w:sz w:val="18"/>
              </w:rPr>
              <w:t>It carries a floor the Code does not have. Paragraph 3(a) reads 'or two hundred rupees a day, whichever is higher'. That figure came from the Maternity Benefit Act 1961, repealed on 21-Nov-2025, and the Code did not carry it over. It takes nothing away, because the form says whichever is higher and the minimum wage is higher everywhere, but it is not the law you are quoting.</w:t>
            </w:r>
          </w:p>
        </w:tc>
        <w:tc>
          <w:tcPr>
            <w:tcW w:type="dxa" w:w="3600"/>
          </w:tcPr>
          <w:p>
            <w:pPr>
              <w:spacing w:after="40" w:before="40"/>
            </w:pPr>
            <w:r/>
            <w:r>
              <w:rPr>
                <w:rFonts w:ascii="Calibri" w:hAnsi="Calibri"/>
                <w:color w:val="565656"/>
                <w:sz w:val="18"/>
              </w:rPr>
              <w:t>s.60(1) floors the rate at the minimum wage under the Code on Wages, 2019</w:t>
            </w:r>
          </w:p>
        </w:tc>
      </w:tr>
      <w:tr>
        <w:tc>
          <w:tcPr>
            <w:tcW w:type="dxa" w:w="6192"/>
          </w:tcPr>
          <w:p>
            <w:pPr>
              <w:spacing w:after="40" w:before="40"/>
            </w:pPr>
            <w:r/>
            <w:r>
              <w:rPr>
                <w:rFonts w:ascii="Calibri" w:hAnsi="Calibri"/>
                <w:color w:val="565656"/>
                <w:sz w:val="18"/>
              </w:rPr>
              <w:t>It says nothing about adoption or a commissioning mother. The words adopt and commissioning do not appear in the form.</w:t>
            </w:r>
          </w:p>
        </w:tc>
        <w:tc>
          <w:tcPr>
            <w:tcW w:type="dxa" w:w="3600"/>
          </w:tcPr>
          <w:p>
            <w:pPr>
              <w:spacing w:after="40" w:before="40"/>
            </w:pPr>
            <w:r/>
            <w:r>
              <w:rPr>
                <w:rFonts w:ascii="Calibri" w:hAnsi="Calibri"/>
                <w:color w:val="565656"/>
                <w:sz w:val="18"/>
              </w:rPr>
              <w:t>s.60(4) gives each of them twelve weeks</w:t>
            </w:r>
          </w:p>
        </w:tc>
      </w:tr>
      <w:tr>
        <w:tc>
          <w:tcPr>
            <w:tcW w:type="dxa" w:w="6192"/>
          </w:tcPr>
          <w:p>
            <w:pPr>
              <w:spacing w:after="40" w:before="40"/>
            </w:pPr>
            <w:r/>
            <w:r>
              <w:rPr>
                <w:rFonts w:ascii="Calibri" w:hAnsi="Calibri"/>
                <w:color w:val="565656"/>
                <w:sz w:val="18"/>
              </w:rPr>
              <w:t>It says nothing about the creche, or about being told at appointment. Section 67 is not referred to anywhere in the form, so neither the creche nor the written and electronic intimation reaches the notice board.</w:t>
            </w:r>
          </w:p>
        </w:tc>
        <w:tc>
          <w:tcPr>
            <w:tcW w:type="dxa" w:w="3600"/>
          </w:tcPr>
          <w:p>
            <w:pPr>
              <w:spacing w:after="40" w:before="40"/>
            </w:pPr>
            <w:r/>
            <w:r>
              <w:rPr>
                <w:rFonts w:ascii="Calibri" w:hAnsi="Calibri"/>
                <w:color w:val="565656"/>
                <w:sz w:val="18"/>
              </w:rPr>
              <w:t>s.67(1) and s.67(2)</w:t>
            </w:r>
          </w:p>
        </w:tc>
      </w:tr>
    </w:tbl>
    <w:p>
      <w:pPr>
        <w:spacing w:after="80"/>
      </w:pPr>
    </w:p>
    <w:p>
      <w:pPr>
        <w:keepNext w:val="0"/>
        <w:spacing w:after="160" w:before="0"/>
        <w:ind w:left="216"/>
      </w:pPr>
      <w:r>
        <w:rPr>
          <w:rFonts w:ascii="Calibri" w:hAnsi="Calibri"/>
          <w:b w:val="0"/>
          <w:i w:val="0"/>
          <w:color w:val="565656"/>
          <w:sz w:val="19"/>
        </w:rPr>
        <w:t>None of this makes Form-XIV optional. Rule 40(4) prescribes it and an Inspector-cum-Facilitator will look for it. What it means is that an employer who displays only Form-XIV has told the women who work there less than the Code gives them, so display the supplement below beside it.</w:t>
      </w:r>
    </w:p>
    <w:p>
      <w:pPr>
        <w:keepNext/>
        <w:spacing w:after="80" w:before="80"/>
      </w:pPr>
      <w:r>
        <w:rPr>
          <w:rFonts w:ascii="Calibri" w:hAnsi="Calibri"/>
          <w:b/>
          <w:i w:val="0"/>
          <w:color w:val="1D1D1D"/>
          <w:sz w:val="22"/>
        </w:rPr>
        <w:t>The supplement, to display beside Form-XIV</w:t>
      </w:r>
    </w:p>
    <w:p>
      <w:pPr>
        <w:keepNext w:val="0"/>
        <w:spacing w:after="40" w:before="0"/>
        <w:jc w:val="center"/>
      </w:pPr>
      <w:r>
        <w:rPr>
          <w:rFonts w:ascii="Calibri" w:hAnsi="Calibri"/>
          <w:b/>
          <w:i w:val="0"/>
          <w:color w:val="1D1D1D"/>
          <w:sz w:val="26"/>
        </w:rPr>
        <w:t>MATERNITY BENEFITS: YOUR RIGHTS</w:t>
      </w:r>
    </w:p>
    <w:p>
      <w:pPr>
        <w:keepNext w:val="0"/>
        <w:spacing w:after="160" w:before="0"/>
        <w:jc w:val="center"/>
      </w:pPr>
      <w:r>
        <w:rPr>
          <w:rFonts w:ascii="Calibri" w:hAnsi="Calibri"/>
          <w:b w:val="0"/>
          <w:i w:val="0"/>
          <w:color w:val="565656"/>
          <w:sz w:val="18"/>
        </w:rPr>
        <w:t>Chapter VI, Code on Social Security, 2020  ·  displayed by [COMPANY NAME] alongside Form-XIV</w:t>
      </w:r>
    </w:p>
    <w:tbl>
      <w:tblPr>
        <w:tblStyle w:val="TableGrid"/>
        <w:tblW w:type="auto" w:w="0"/>
        <w:tblLook w:firstColumn="1" w:firstRow="1" w:lastColumn="0" w:lastRow="0" w:noHBand="0" w:noVBand="1" w:val="04A0"/>
      </w:tblPr>
      <w:tblGrid>
        <w:gridCol w:w="4824"/>
        <w:gridCol w:w="4824"/>
      </w:tblGrid>
      <w:tr>
        <w:tc>
          <w:tcPr>
            <w:tcW w:type="dxa" w:w="2736"/>
            <w:shd w:val="clear" w:fill="008CDB"/>
          </w:tcPr>
          <w:p>
            <w:pPr>
              <w:spacing w:after="40" w:before="40"/>
              <w:shd w:val="clear" w:fill="008CDB"/>
            </w:pPr>
            <w:r/>
            <w:r>
              <w:rPr>
                <w:rFonts w:ascii="Calibri" w:hAnsi="Calibri"/>
                <w:b/>
                <w:color w:val="FFFFFF"/>
                <w:sz w:val="18"/>
              </w:rPr>
            </w:r>
          </w:p>
        </w:tc>
        <w:tc>
          <w:tcPr>
            <w:tcW w:type="dxa" w:w="7056"/>
            <w:shd w:val="clear" w:fill="008CDB"/>
          </w:tcPr>
          <w:p>
            <w:pPr>
              <w:spacing w:after="40" w:before="40"/>
              <w:shd w:val="clear" w:fill="008CDB"/>
            </w:pPr>
            <w:r/>
            <w:r>
              <w:rPr>
                <w:rFonts w:ascii="Calibri" w:hAnsi="Calibri"/>
                <w:b/>
                <w:color w:val="FFFFFF"/>
                <w:sz w:val="18"/>
              </w:rPr>
              <w:t>What the Code gives you</w:t>
            </w:r>
          </w:p>
        </w:tc>
      </w:tr>
      <w:tr>
        <w:tc>
          <w:tcPr>
            <w:tcW w:type="dxa" w:w="2736"/>
          </w:tcPr>
          <w:p>
            <w:pPr>
              <w:spacing w:after="40" w:before="40"/>
            </w:pPr>
            <w:r/>
            <w:r>
              <w:rPr>
                <w:rFonts w:ascii="Calibri" w:hAnsi="Calibri"/>
                <w:color w:val="565656"/>
                <w:sz w:val="18"/>
              </w:rPr>
              <w:t>Who this notice is for</w:t>
            </w:r>
          </w:p>
        </w:tc>
        <w:tc>
          <w:tcPr>
            <w:tcW w:type="dxa" w:w="7056"/>
          </w:tcPr>
          <w:p>
            <w:pPr>
              <w:spacing w:after="40" w:before="40"/>
            </w:pPr>
            <w:r/>
            <w:r>
              <w:rPr>
                <w:rFonts w:ascii="Calibri" w:hAnsi="Calibri"/>
                <w:color w:val="565656"/>
                <w:sz w:val="18"/>
              </w:rPr>
              <w:t>Every woman employed here, whether on the rolls or through a contractor.</w:t>
            </w:r>
          </w:p>
        </w:tc>
      </w:tr>
      <w:tr>
        <w:tc>
          <w:tcPr>
            <w:tcW w:type="dxa" w:w="2736"/>
          </w:tcPr>
          <w:p>
            <w:pPr>
              <w:spacing w:after="40" w:before="40"/>
            </w:pPr>
            <w:r/>
            <w:r>
              <w:rPr>
                <w:rFonts w:ascii="Calibri" w:hAnsi="Calibri"/>
                <w:color w:val="565656"/>
                <w:sz w:val="18"/>
              </w:rPr>
              <w:t>Leave</w:t>
            </w:r>
          </w:p>
        </w:tc>
        <w:tc>
          <w:tcPr>
            <w:tcW w:type="dxa" w:w="7056"/>
          </w:tcPr>
          <w:p>
            <w:pPr>
              <w:spacing w:after="40" w:before="40"/>
            </w:pPr>
            <w:r/>
            <w:r>
              <w:rPr>
                <w:rFonts w:ascii="Calibri" w:hAnsi="Calibri"/>
                <w:color w:val="565656"/>
                <w:sz w:val="18"/>
              </w:rPr>
              <w:t>26 weeks, of which up to 8 may be taken before the expected date of delivery. 12 weeks if you already have two or more surviving children, of which up to 6 may be taken before. 12 weeks if you adopt a child below three months, or are a commissioning mother.</w:t>
            </w:r>
          </w:p>
        </w:tc>
      </w:tr>
      <w:tr>
        <w:tc>
          <w:tcPr>
            <w:tcW w:type="dxa" w:w="2736"/>
          </w:tcPr>
          <w:p>
            <w:pPr>
              <w:spacing w:after="40" w:before="40"/>
            </w:pPr>
            <w:r/>
            <w:r>
              <w:rPr>
                <w:rFonts w:ascii="Calibri" w:hAnsi="Calibri"/>
                <w:color w:val="565656"/>
                <w:sz w:val="18"/>
              </w:rPr>
              <w:t>If you have worked here less than eighty days</w:t>
            </w:r>
          </w:p>
        </w:tc>
        <w:tc>
          <w:tcPr>
            <w:tcW w:type="dxa" w:w="7056"/>
          </w:tcPr>
          <w:p>
            <w:pPr>
              <w:spacing w:after="40" w:before="40"/>
            </w:pPr>
            <w:r/>
            <w:r>
              <w:rPr>
                <w:rFonts w:ascii="Calibri" w:hAnsi="Calibri"/>
                <w:color w:val="565656"/>
                <w:sz w:val="18"/>
              </w:rPr>
              <w:t>You qualify for maternity benefit once you have actually worked eighty days in the twelve months before your expected date of delivery.</w:t>
            </w:r>
          </w:p>
        </w:tc>
      </w:tr>
      <w:tr>
        <w:tc>
          <w:tcPr>
            <w:tcW w:type="dxa" w:w="2736"/>
          </w:tcPr>
          <w:p>
            <w:pPr>
              <w:spacing w:after="40" w:before="40"/>
            </w:pPr>
            <w:r/>
            <w:r>
              <w:rPr>
                <w:rFonts w:ascii="Calibri" w:hAnsi="Calibri"/>
                <w:color w:val="565656"/>
                <w:sz w:val="18"/>
              </w:rPr>
              <w:t>Pay</w:t>
            </w:r>
          </w:p>
        </w:tc>
        <w:tc>
          <w:tcPr>
            <w:tcW w:type="dxa" w:w="7056"/>
          </w:tcPr>
          <w:p>
            <w:pPr>
              <w:spacing w:after="40" w:before="40"/>
            </w:pPr>
            <w:r/>
            <w:r>
              <w:rPr>
                <w:rFonts w:ascii="Calibri" w:hAnsi="Calibri"/>
                <w:color w:val="565656"/>
                <w:sz w:val="18"/>
              </w:rPr>
              <w:t>Your average daily wage over the three months before you are absent, and never less than the minimum wage. Paid in advance for the period before delivery, and within 48 hours of proof for the rest.</w:t>
            </w:r>
          </w:p>
        </w:tc>
      </w:tr>
      <w:tr>
        <w:tc>
          <w:tcPr>
            <w:tcW w:type="dxa" w:w="2736"/>
          </w:tcPr>
          <w:p>
            <w:pPr>
              <w:spacing w:after="40" w:before="40"/>
            </w:pPr>
            <w:r/>
            <w:r>
              <w:rPr>
                <w:rFonts w:ascii="Calibri" w:hAnsi="Calibri"/>
                <w:color w:val="565656"/>
                <w:sz w:val="18"/>
              </w:rPr>
              <w:t>Medical bonus</w:t>
            </w:r>
          </w:p>
        </w:tc>
        <w:tc>
          <w:tcPr>
            <w:tcW w:type="dxa" w:w="7056"/>
          </w:tcPr>
          <w:p>
            <w:pPr>
              <w:spacing w:after="40" w:before="40"/>
            </w:pPr>
            <w:r/>
            <w:r>
              <w:rPr>
                <w:rFonts w:ascii="Calibri" w:hAnsi="Calibri"/>
                <w:color w:val="565656"/>
                <w:sz w:val="18"/>
              </w:rPr>
              <w:t>₹3,500, unless free pre-natal, confinement and post-natal care is provided to you here.</w:t>
            </w:r>
          </w:p>
        </w:tc>
      </w:tr>
      <w:tr>
        <w:tc>
          <w:tcPr>
            <w:tcW w:type="dxa" w:w="2736"/>
          </w:tcPr>
          <w:p>
            <w:pPr>
              <w:spacing w:after="40" w:before="40"/>
            </w:pPr>
            <w:r/>
            <w:r>
              <w:rPr>
                <w:rFonts w:ascii="Calibri" w:hAnsi="Calibri"/>
                <w:color w:val="565656"/>
                <w:sz w:val="18"/>
              </w:rPr>
              <w:t>Miscarriage, termination, tubectomy, illness</w:t>
            </w:r>
          </w:p>
        </w:tc>
        <w:tc>
          <w:tcPr>
            <w:tcW w:type="dxa" w:w="7056"/>
          </w:tcPr>
          <w:p>
            <w:pPr>
              <w:spacing w:after="40" w:before="40"/>
            </w:pPr>
            <w:r/>
            <w:r>
              <w:rPr>
                <w:rFonts w:ascii="Calibri" w:hAnsi="Calibri"/>
                <w:color w:val="565656"/>
                <w:sz w:val="18"/>
              </w:rPr>
              <w:t>6 weeks, 6 weeks, 2 weeks and a further 1 month respectively.</w:t>
            </w:r>
          </w:p>
        </w:tc>
      </w:tr>
      <w:tr>
        <w:tc>
          <w:tcPr>
            <w:tcW w:type="dxa" w:w="2736"/>
          </w:tcPr>
          <w:p>
            <w:pPr>
              <w:spacing w:after="40" w:before="40"/>
            </w:pPr>
            <w:r/>
            <w:r>
              <w:rPr>
                <w:rFonts w:ascii="Calibri" w:hAnsi="Calibri"/>
                <w:color w:val="565656"/>
                <w:sz w:val="18"/>
              </w:rPr>
              <w:t>After you return</w:t>
            </w:r>
          </w:p>
        </w:tc>
        <w:tc>
          <w:tcPr>
            <w:tcW w:type="dxa" w:w="7056"/>
          </w:tcPr>
          <w:p>
            <w:pPr>
              <w:spacing w:after="40" w:before="40"/>
            </w:pPr>
            <w:r/>
            <w:r>
              <w:rPr>
                <w:rFonts w:ascii="Calibri" w:hAnsi="Calibri"/>
                <w:color w:val="565656"/>
                <w:sz w:val="18"/>
              </w:rPr>
              <w:t>Two nursing breaks a day until your child is 15 months old, on top of your rest intervals, with no deduction from your wages.</w:t>
            </w:r>
          </w:p>
        </w:tc>
      </w:tr>
      <w:tr>
        <w:tc>
          <w:tcPr>
            <w:tcW w:type="dxa" w:w="2736"/>
          </w:tcPr>
          <w:p>
            <w:pPr>
              <w:spacing w:after="40" w:before="40"/>
            </w:pPr>
            <w:r/>
            <w:r>
              <w:rPr>
                <w:rFonts w:ascii="Calibri" w:hAnsi="Calibri"/>
                <w:color w:val="565656"/>
                <w:sz w:val="18"/>
              </w:rPr>
              <w:t>Creche</w:t>
            </w:r>
          </w:p>
        </w:tc>
        <w:tc>
          <w:tcPr>
            <w:tcW w:type="dxa" w:w="7056"/>
          </w:tcPr>
          <w:p>
            <w:pPr>
              <w:spacing w:after="40" w:before="40"/>
            </w:pPr>
            <w:r/>
            <w:r>
              <w:rPr>
                <w:rFonts w:ascii="Calibri" w:hAnsi="Calibri"/>
                <w:color w:val="565656"/>
                <w:sz w:val="18"/>
              </w:rPr>
              <w:t>Where fifty or more employees work here, a creche for children under six, and four visits a day to it.</w:t>
            </w:r>
          </w:p>
        </w:tc>
      </w:tr>
      <w:tr>
        <w:tc>
          <w:tcPr>
            <w:tcW w:type="dxa" w:w="2736"/>
          </w:tcPr>
          <w:p>
            <w:pPr>
              <w:spacing w:after="40" w:before="40"/>
            </w:pPr>
            <w:r/>
            <w:r>
              <w:rPr>
                <w:rFonts w:ascii="Calibri" w:hAnsi="Calibri"/>
                <w:color w:val="565656"/>
                <w:sz w:val="18"/>
              </w:rPr>
              <w:t>You cannot be dismissed</w:t>
            </w:r>
          </w:p>
        </w:tc>
        <w:tc>
          <w:tcPr>
            <w:tcW w:type="dxa" w:w="7056"/>
          </w:tcPr>
          <w:p>
            <w:pPr>
              <w:spacing w:after="40" w:before="40"/>
            </w:pPr>
            <w:r/>
            <w:r>
              <w:rPr>
                <w:rFonts w:ascii="Calibri" w:hAnsi="Calibri"/>
                <w:color w:val="565656"/>
                <w:sz w:val="18"/>
              </w:rPr>
              <w:t>for being absent on maternity leave, and your conditions of service cannot be changed to your disadvantage while you are absent.</w:t>
            </w:r>
          </w:p>
        </w:tc>
      </w:tr>
      <w:tr>
        <w:tc>
          <w:tcPr>
            <w:tcW w:type="dxa" w:w="2736"/>
          </w:tcPr>
          <w:p>
            <w:pPr>
              <w:spacing w:after="40" w:before="40"/>
            </w:pPr>
            <w:r/>
            <w:r>
              <w:rPr>
                <w:rFonts w:ascii="Calibri" w:hAnsi="Calibri"/>
                <w:color w:val="565656"/>
                <w:sz w:val="18"/>
              </w:rPr>
              <w:t>If any of this is withheld</w:t>
            </w:r>
          </w:p>
        </w:tc>
        <w:tc>
          <w:tcPr>
            <w:tcW w:type="dxa" w:w="7056"/>
          </w:tcPr>
          <w:p>
            <w:pPr>
              <w:spacing w:after="40" w:before="40"/>
            </w:pPr>
            <w:r/>
            <w:r>
              <w:rPr>
                <w:rFonts w:ascii="Calibri" w:hAnsi="Calibri"/>
                <w:color w:val="565656"/>
                <w:sz w:val="18"/>
              </w:rPr>
              <w:t>Complain to the Inspector-cum-Facilitator at [OFFICE AND ADDRESS].</w:t>
            </w:r>
          </w:p>
        </w:tc>
      </w:tr>
    </w:tbl>
    <w:p>
      <w:pPr>
        <w:spacing w:after="80"/>
      </w:pPr>
    </w:p>
    <w:p>
      <w:pPr>
        <w:keepNext w:val="0"/>
        <w:spacing w:after="160" w:before="0"/>
      </w:pPr>
      <w:r>
        <w:rPr>
          <w:rFonts w:ascii="Calibri" w:hAnsi="Calibri"/>
          <w:b w:val="0"/>
          <w:i/>
          <w:color w:val="565656"/>
          <w:sz w:val="18"/>
        </w:rPr>
        <w:t>This supplement is a summary and does not replace Form-XIV. Chapter VI and the Social Security (Central) Rules, 2026 are what apply.</w:t>
      </w:r>
    </w:p>
    <w:p>
      <w:r>
        <w:br w:type="page"/>
      </w:r>
    </w:p>
    <w:p>
      <w:pPr>
        <w:pStyle w:val="Heading1"/>
        <w:keepNext/>
        <w:spacing w:after="200" w:before="80"/>
        <w:ind w:left="115"/>
        <w:shd w:val="clear" w:fill="008CDB"/>
      </w:pPr>
      <w:r>
        <w:rPr>
          <w:rFonts w:ascii="Calibri" w:hAnsi="Calibri"/>
          <w:b/>
          <w:color w:val="FFFFFF"/>
          <w:sz w:val="22"/>
        </w:rPr>
        <w:t>Annexure D.  The creche, and the proof you may ask for</w:t>
      </w:r>
    </w:p>
    <w:p>
      <w:pPr>
        <w:keepNext w:val="0"/>
        <w:spacing w:after="120" w:before="0"/>
      </w:pPr>
      <w:r>
        <w:rPr>
          <w:rFonts w:ascii="Calibri" w:hAnsi="Calibri"/>
          <w:b w:val="0"/>
          <w:i w:val="0"/>
          <w:color w:val="565656"/>
          <w:sz w:val="20"/>
        </w:rPr>
        <w:t>Rule 37 of the Social Security (Central) Rules, 2026 sets the criteria. Section 67(1) sets the threshold, and it is fifty employees, not fifty women.</w:t>
      </w:r>
    </w:p>
    <w:tbl>
      <w:tblPr>
        <w:tblStyle w:val="TableGrid"/>
        <w:tblW w:type="auto" w:w="0"/>
        <w:tblLook w:firstColumn="1" w:firstRow="1" w:lastColumn="0" w:lastRow="0" w:noHBand="0" w:noVBand="1" w:val="04A0"/>
      </w:tblPr>
      <w:tblGrid>
        <w:gridCol w:w="4824"/>
        <w:gridCol w:w="4824"/>
      </w:tblGrid>
      <w:tr>
        <w:tc>
          <w:tcPr>
            <w:tcW w:type="dxa" w:w="2736"/>
            <w:shd w:val="clear" w:fill="008CDB"/>
          </w:tcPr>
          <w:p>
            <w:pPr>
              <w:spacing w:after="40" w:before="40"/>
              <w:shd w:val="clear" w:fill="008CDB"/>
            </w:pPr>
            <w:r/>
            <w:r>
              <w:rPr>
                <w:rFonts w:ascii="Calibri" w:hAnsi="Calibri"/>
                <w:b/>
                <w:color w:val="FFFFFF"/>
                <w:sz w:val="18"/>
              </w:rPr>
              <w:t>Criterion</w:t>
            </w:r>
          </w:p>
        </w:tc>
        <w:tc>
          <w:tcPr>
            <w:tcW w:type="dxa" w:w="7056"/>
            <w:shd w:val="clear" w:fill="008CDB"/>
          </w:tcPr>
          <w:p>
            <w:pPr>
              <w:spacing w:after="40" w:before="40"/>
              <w:shd w:val="clear" w:fill="008CDB"/>
            </w:pPr>
            <w:r/>
            <w:r>
              <w:rPr>
                <w:rFonts w:ascii="Calibri" w:hAnsi="Calibri"/>
                <w:b/>
                <w:color w:val="FFFFFF"/>
                <w:sz w:val="18"/>
              </w:rPr>
              <w:t>What rule 37 and section 67 require</w:t>
            </w:r>
          </w:p>
        </w:tc>
      </w:tr>
      <w:tr>
        <w:tc>
          <w:tcPr>
            <w:tcW w:type="dxa" w:w="2736"/>
          </w:tcPr>
          <w:p>
            <w:pPr>
              <w:spacing w:after="40" w:before="40"/>
            </w:pPr>
            <w:r/>
            <w:r>
              <w:rPr>
                <w:rFonts w:ascii="Calibri" w:hAnsi="Calibri"/>
                <w:color w:val="565656"/>
                <w:sz w:val="18"/>
              </w:rPr>
              <w:t>When it is required</w:t>
            </w:r>
          </w:p>
        </w:tc>
        <w:tc>
          <w:tcPr>
            <w:tcW w:type="dxa" w:w="7056"/>
          </w:tcPr>
          <w:p>
            <w:pPr>
              <w:spacing w:after="40" w:before="40"/>
            </w:pPr>
            <w:r/>
            <w:r>
              <w:rPr>
                <w:rFonts w:ascii="Calibri" w:hAnsi="Calibri"/>
                <w:color w:val="565656"/>
                <w:sz w:val="18"/>
              </w:rPr>
              <w:t>Fifty or more employees ordinarily employed. Fifty EMPLOYEES, not fifty women, and not fifty mothers.</w:t>
            </w:r>
          </w:p>
        </w:tc>
      </w:tr>
      <w:tr>
        <w:tc>
          <w:tcPr>
            <w:tcW w:type="dxa" w:w="2736"/>
          </w:tcPr>
          <w:p>
            <w:pPr>
              <w:spacing w:after="40" w:before="40"/>
            </w:pPr>
            <w:r/>
            <w:r>
              <w:rPr>
                <w:rFonts w:ascii="Calibri" w:hAnsi="Calibri"/>
                <w:color w:val="565656"/>
                <w:sz w:val="18"/>
              </w:rPr>
              <w:t>Who may use it</w:t>
            </w:r>
          </w:p>
        </w:tc>
        <w:tc>
          <w:tcPr>
            <w:tcW w:type="dxa" w:w="7056"/>
          </w:tcPr>
          <w:p>
            <w:pPr>
              <w:spacing w:after="40" w:before="40"/>
            </w:pPr>
            <w:r/>
            <w:r>
              <w:rPr>
                <w:rFonts w:ascii="Calibri" w:hAnsi="Calibri"/>
                <w:color w:val="565656"/>
                <w:sz w:val="18"/>
              </w:rPr>
              <w:t>Children below six years of age.</w:t>
            </w:r>
          </w:p>
        </w:tc>
      </w:tr>
      <w:tr>
        <w:tc>
          <w:tcPr>
            <w:tcW w:type="dxa" w:w="2736"/>
          </w:tcPr>
          <w:p>
            <w:pPr>
              <w:spacing w:after="40" w:before="40"/>
            </w:pPr>
            <w:r/>
            <w:r>
              <w:rPr>
                <w:rFonts w:ascii="Calibri" w:hAnsi="Calibri"/>
                <w:color w:val="565656"/>
                <w:sz w:val="18"/>
              </w:rPr>
              <w:t>Distance</w:t>
            </w:r>
          </w:p>
        </w:tc>
        <w:tc>
          <w:tcPr>
            <w:tcW w:type="dxa" w:w="7056"/>
          </w:tcPr>
          <w:p>
            <w:pPr>
              <w:spacing w:after="40" w:before="40"/>
            </w:pPr>
            <w:r/>
            <w:r>
              <w:rPr>
                <w:rFonts w:ascii="Calibri" w:hAnsi="Calibri"/>
                <w:color w:val="565656"/>
                <w:sz w:val="18"/>
              </w:rPr>
              <w:t>Within one kilometre of the establishment, and conveniently accessible to the employees whose children are there.</w:t>
            </w:r>
          </w:p>
        </w:tc>
      </w:tr>
      <w:tr>
        <w:tc>
          <w:tcPr>
            <w:tcW w:type="dxa" w:w="2736"/>
          </w:tcPr>
          <w:p>
            <w:pPr>
              <w:spacing w:after="40" w:before="40"/>
            </w:pPr>
            <w:r/>
            <w:r>
              <w:rPr>
                <w:rFonts w:ascii="Calibri" w:hAnsi="Calibri"/>
                <w:color w:val="565656"/>
                <w:sz w:val="18"/>
              </w:rPr>
              <w:t>Where the one kilometre is relaxed</w:t>
            </w:r>
          </w:p>
        </w:tc>
        <w:tc>
          <w:tcPr>
            <w:tcW w:type="dxa" w:w="7056"/>
          </w:tcPr>
          <w:p>
            <w:pPr>
              <w:spacing w:after="40" w:before="40"/>
            </w:pPr>
            <w:r/>
            <w:r>
              <w:rPr>
                <w:rFonts w:ascii="Calibri" w:hAnsi="Calibri"/>
                <w:color w:val="565656"/>
                <w:sz w:val="18"/>
              </w:rPr>
              <w:t>The competent authority relaxes the one kilometre radius for an establishment inside an industrial park or industrial area notified by the Central Government, a State Government or a local authority. If you are in one, ask rather than assume.</w:t>
            </w:r>
          </w:p>
        </w:tc>
      </w:tr>
      <w:tr>
        <w:tc>
          <w:tcPr>
            <w:tcW w:type="dxa" w:w="2736"/>
          </w:tcPr>
          <w:p>
            <w:pPr>
              <w:spacing w:after="40" w:before="40"/>
            </w:pPr>
            <w:r/>
            <w:r>
              <w:rPr>
                <w:rFonts w:ascii="Calibri" w:hAnsi="Calibri"/>
                <w:color w:val="565656"/>
                <w:sz w:val="18"/>
              </w:rPr>
              <w:t>Space</w:t>
            </w:r>
          </w:p>
        </w:tc>
        <w:tc>
          <w:tcPr>
            <w:tcW w:type="dxa" w:w="7056"/>
          </w:tcPr>
          <w:p>
            <w:pPr>
              <w:spacing w:after="40" w:before="40"/>
            </w:pPr>
            <w:r/>
            <w:r>
              <w:rPr>
                <w:rFonts w:ascii="Calibri" w:hAnsi="Calibri"/>
                <w:color w:val="565656"/>
                <w:sz w:val="18"/>
              </w:rPr>
              <w:t>Not less than ten square feet of floor area for each child.</w:t>
            </w:r>
          </w:p>
        </w:tc>
      </w:tr>
      <w:tr>
        <w:tc>
          <w:tcPr>
            <w:tcW w:type="dxa" w:w="2736"/>
          </w:tcPr>
          <w:p>
            <w:pPr>
              <w:spacing w:after="40" w:before="40"/>
            </w:pPr>
            <w:r/>
            <w:r>
              <w:rPr>
                <w:rFonts w:ascii="Calibri" w:hAnsi="Calibri"/>
                <w:color w:val="565656"/>
                <w:sz w:val="18"/>
              </w:rPr>
              <w:t>Hours</w:t>
            </w:r>
          </w:p>
        </w:tc>
        <w:tc>
          <w:tcPr>
            <w:tcW w:type="dxa" w:w="7056"/>
          </w:tcPr>
          <w:p>
            <w:pPr>
              <w:spacing w:after="40" w:before="40"/>
            </w:pPr>
            <w:r/>
            <w:r>
              <w:rPr>
                <w:rFonts w:ascii="Calibri" w:hAnsi="Calibri"/>
                <w:color w:val="565656"/>
                <w:sz w:val="18"/>
              </w:rPr>
              <w:t>The creche is open during the hours the employees work, including any extended hours.</w:t>
            </w:r>
          </w:p>
        </w:tc>
      </w:tr>
      <w:tr>
        <w:tc>
          <w:tcPr>
            <w:tcW w:type="dxa" w:w="2736"/>
          </w:tcPr>
          <w:p>
            <w:pPr>
              <w:spacing w:after="40" w:before="40"/>
            </w:pPr>
            <w:r/>
            <w:r>
              <w:rPr>
                <w:rFonts w:ascii="Calibri" w:hAnsi="Calibri"/>
                <w:color w:val="565656"/>
                <w:sz w:val="18"/>
              </w:rPr>
              <w:t>Who runs it</w:t>
            </w:r>
          </w:p>
        </w:tc>
        <w:tc>
          <w:tcPr>
            <w:tcW w:type="dxa" w:w="7056"/>
          </w:tcPr>
          <w:p>
            <w:pPr>
              <w:spacing w:after="40" w:before="40"/>
            </w:pPr>
            <w:r/>
            <w:r>
              <w:rPr>
                <w:rFonts w:ascii="Calibri" w:hAnsi="Calibri"/>
                <w:color w:val="565656"/>
                <w:sz w:val="18"/>
              </w:rPr>
              <w:t>A woman trained in midwifery, or who holds a qualification in child care, nursing or as a creche attendant.</w:t>
            </w:r>
          </w:p>
        </w:tc>
      </w:tr>
      <w:tr>
        <w:tc>
          <w:tcPr>
            <w:tcW w:type="dxa" w:w="2736"/>
          </w:tcPr>
          <w:p>
            <w:pPr>
              <w:spacing w:after="40" w:before="40"/>
            </w:pPr>
            <w:r/>
            <w:r>
              <w:rPr>
                <w:rFonts w:ascii="Calibri" w:hAnsi="Calibri"/>
                <w:color w:val="565656"/>
                <w:sz w:val="18"/>
              </w:rPr>
              <w:t>Outdoors</w:t>
            </w:r>
          </w:p>
        </w:tc>
        <w:tc>
          <w:tcPr>
            <w:tcW w:type="dxa" w:w="7056"/>
          </w:tcPr>
          <w:p>
            <w:pPr>
              <w:spacing w:after="40" w:before="40"/>
            </w:pPr>
            <w:r/>
            <w:r>
              <w:rPr>
                <w:rFonts w:ascii="Calibri" w:hAnsi="Calibri"/>
                <w:color w:val="565656"/>
                <w:sz w:val="18"/>
              </w:rPr>
              <w:t>A fenced, safe play area, protected from the sun.</w:t>
            </w:r>
          </w:p>
        </w:tc>
      </w:tr>
      <w:tr>
        <w:tc>
          <w:tcPr>
            <w:tcW w:type="dxa" w:w="2736"/>
          </w:tcPr>
          <w:p>
            <w:pPr>
              <w:spacing w:after="40" w:before="40"/>
            </w:pPr>
            <w:r/>
            <w:r>
              <w:rPr>
                <w:rFonts w:ascii="Calibri" w:hAnsi="Calibri"/>
                <w:color w:val="565656"/>
                <w:sz w:val="18"/>
              </w:rPr>
              <w:t>Visits</w:t>
            </w:r>
          </w:p>
        </w:tc>
        <w:tc>
          <w:tcPr>
            <w:tcW w:type="dxa" w:w="7056"/>
          </w:tcPr>
          <w:p>
            <w:pPr>
              <w:spacing w:after="40" w:before="40"/>
            </w:pPr>
            <w:r/>
            <w:r>
              <w:rPr>
                <w:rFonts w:ascii="Calibri" w:hAnsi="Calibri"/>
                <w:color w:val="565656"/>
                <w:sz w:val="18"/>
              </w:rPr>
              <w:t>Four visits a day, and the rest intervals count inside those four.</w:t>
            </w:r>
          </w:p>
        </w:tc>
      </w:tr>
      <w:tr>
        <w:tc>
          <w:tcPr>
            <w:tcW w:type="dxa" w:w="2736"/>
          </w:tcPr>
          <w:p>
            <w:pPr>
              <w:spacing w:after="40" w:before="40"/>
            </w:pPr>
            <w:r/>
            <w:r>
              <w:rPr>
                <w:rFonts w:ascii="Calibri" w:hAnsi="Calibri"/>
                <w:color w:val="565656"/>
                <w:sz w:val="18"/>
              </w:rPr>
              <w:t>Sharing it</w:t>
            </w:r>
          </w:p>
        </w:tc>
        <w:tc>
          <w:tcPr>
            <w:tcW w:type="dxa" w:w="7056"/>
          </w:tcPr>
          <w:p>
            <w:pPr>
              <w:spacing w:after="40" w:before="40"/>
            </w:pPr>
            <w:r/>
            <w:r>
              <w:rPr>
                <w:rFonts w:ascii="Calibri" w:hAnsi="Calibri"/>
                <w:color w:val="565656"/>
                <w:sz w:val="18"/>
              </w:rPr>
              <w:t>It may be a common creche, run by a government, a municipality, a private organisation, or several establishments pooling resources.</w:t>
            </w:r>
          </w:p>
        </w:tc>
      </w:tr>
    </w:tbl>
    <w:p>
      <w:pPr>
        <w:spacing w:after="80"/>
      </w:pPr>
    </w:p>
    <w:p>
      <w:pPr>
        <w:keepNext/>
        <w:spacing w:after="80" w:before="120"/>
      </w:pPr>
      <w:r>
        <w:rPr>
          <w:rFonts w:ascii="Calibri" w:hAnsi="Calibri"/>
          <w:b/>
          <w:i w:val="0"/>
          <w:color w:val="1D1D1D"/>
          <w:sz w:val="22"/>
        </w:rPr>
        <w:t>Proof: Form-X, under rule 35</w:t>
      </w:r>
    </w:p>
    <w:tbl>
      <w:tblPr>
        <w:tblStyle w:val="TableGrid"/>
        <w:tblW w:type="auto" w:w="0"/>
        <w:tblLook w:firstColumn="1" w:firstRow="1" w:lastColumn="0" w:lastRow="0" w:noHBand="0" w:noVBand="1" w:val="04A0"/>
      </w:tblPr>
      <w:tblGrid>
        <w:gridCol w:w="4824"/>
        <w:gridCol w:w="4824"/>
      </w:tblGrid>
      <w:tr>
        <w:tc>
          <w:tcPr>
            <w:tcW w:type="dxa" w:w="2736"/>
            <w:shd w:val="clear" w:fill="008CDB"/>
          </w:tcPr>
          <w:p>
            <w:pPr>
              <w:spacing w:after="40" w:before="40"/>
              <w:shd w:val="clear" w:fill="008CDB"/>
            </w:pPr>
            <w:r/>
            <w:r>
              <w:rPr>
                <w:rFonts w:ascii="Calibri" w:hAnsi="Calibri"/>
                <w:b/>
                <w:color w:val="FFFFFF"/>
                <w:sz w:val="18"/>
              </w:rPr>
            </w:r>
          </w:p>
        </w:tc>
        <w:tc>
          <w:tcPr>
            <w:tcW w:type="dxa" w:w="7056"/>
            <w:shd w:val="clear" w:fill="008CDB"/>
          </w:tcPr>
          <w:p>
            <w:pPr>
              <w:spacing w:after="40" w:before="40"/>
              <w:shd w:val="clear" w:fill="008CDB"/>
            </w:pPr>
            <w:r/>
            <w:r>
              <w:rPr>
                <w:rFonts w:ascii="Calibri" w:hAnsi="Calibri"/>
                <w:b/>
                <w:color w:val="FFFFFF"/>
                <w:sz w:val="18"/>
              </w:rPr>
              <w:t>Rule 35</w:t>
            </w:r>
          </w:p>
        </w:tc>
      </w:tr>
      <w:tr>
        <w:tc>
          <w:tcPr>
            <w:tcW w:type="dxa" w:w="2736"/>
          </w:tcPr>
          <w:p>
            <w:pPr>
              <w:spacing w:after="40" w:before="40"/>
            </w:pPr>
            <w:r/>
            <w:r>
              <w:rPr>
                <w:rFonts w:ascii="Calibri" w:hAnsi="Calibri"/>
                <w:color w:val="565656"/>
                <w:sz w:val="18"/>
              </w:rPr>
              <w:t>What it is</w:t>
            </w:r>
          </w:p>
        </w:tc>
        <w:tc>
          <w:tcPr>
            <w:tcW w:type="dxa" w:w="7056"/>
          </w:tcPr>
          <w:p>
            <w:pPr>
              <w:spacing w:after="40" w:before="40"/>
            </w:pPr>
            <w:r/>
            <w:r>
              <w:rPr>
                <w:rFonts w:ascii="Calibri" w:hAnsi="Calibri"/>
                <w:color w:val="565656"/>
                <w:sz w:val="18"/>
              </w:rPr>
              <w:t>The prescribed certificate of pregnancy, delivery, miscarriage, medical termination, tubectomy, illness or death.</w:t>
            </w:r>
          </w:p>
        </w:tc>
      </w:tr>
      <w:tr>
        <w:tc>
          <w:tcPr>
            <w:tcW w:type="dxa" w:w="2736"/>
          </w:tcPr>
          <w:p>
            <w:pPr>
              <w:spacing w:after="40" w:before="40"/>
            </w:pPr>
            <w:r/>
            <w:r>
              <w:rPr>
                <w:rFonts w:ascii="Calibri" w:hAnsi="Calibri"/>
                <w:color w:val="565656"/>
                <w:sz w:val="18"/>
              </w:rPr>
              <w:t>Who may sign it</w:t>
            </w:r>
          </w:p>
        </w:tc>
        <w:tc>
          <w:tcPr>
            <w:tcW w:type="dxa" w:w="7056"/>
          </w:tcPr>
          <w:p>
            <w:pPr>
              <w:spacing w:after="40" w:before="40"/>
            </w:pPr>
            <w:r/>
            <w:r>
              <w:rPr>
                <w:rFonts w:ascii="Calibri" w:hAnsi="Calibri"/>
                <w:color w:val="565656"/>
                <w:sz w:val="18"/>
              </w:rPr>
              <w:t>A registered medical practitioner, an Accredited Social Health Activist, or a qualified Auxiliary Nurse and Midwife.</w:t>
            </w:r>
          </w:p>
        </w:tc>
      </w:tr>
      <w:tr>
        <w:tc>
          <w:tcPr>
            <w:tcW w:type="dxa" w:w="2736"/>
          </w:tcPr>
          <w:p>
            <w:pPr>
              <w:spacing w:after="40" w:before="40"/>
            </w:pPr>
            <w:r/>
            <w:r>
              <w:rPr>
                <w:rFonts w:ascii="Calibri" w:hAnsi="Calibri"/>
                <w:color w:val="565656"/>
                <w:sz w:val="18"/>
              </w:rPr>
              <w:t>What else proves delivery</w:t>
            </w:r>
          </w:p>
        </w:tc>
        <w:tc>
          <w:tcPr>
            <w:tcW w:type="dxa" w:w="7056"/>
          </w:tcPr>
          <w:p>
            <w:pPr>
              <w:spacing w:after="40" w:before="40"/>
            </w:pPr>
            <w:r/>
            <w:r>
              <w:rPr>
                <w:rFonts w:ascii="Calibri" w:hAnsi="Calibri"/>
                <w:color w:val="565656"/>
                <w:sz w:val="18"/>
              </w:rPr>
              <w:t>A certificate of birth from the municipality or the gram panchayat, or an extract from a birth register, or a certificate signed by an Accredited Social Health Activist, a qualified Auxiliary Nurse and Midwife, the Gram Pradhan, the Village Administrative Officer or an Authorised Officer of the Municipality.</w:t>
            </w:r>
          </w:p>
        </w:tc>
      </w:tr>
      <w:tr>
        <w:tc>
          <w:tcPr>
            <w:tcW w:type="dxa" w:w="2736"/>
          </w:tcPr>
          <w:p>
            <w:pPr>
              <w:spacing w:after="40" w:before="40"/>
            </w:pPr>
            <w:r/>
            <w:r>
              <w:rPr>
                <w:rFonts w:ascii="Calibri" w:hAnsi="Calibri"/>
                <w:color w:val="565656"/>
                <w:sz w:val="18"/>
              </w:rPr>
              <w:t>What you may not insist on</w:t>
            </w:r>
          </w:p>
        </w:tc>
        <w:tc>
          <w:tcPr>
            <w:tcW w:type="dxa" w:w="7056"/>
          </w:tcPr>
          <w:p>
            <w:pPr>
              <w:spacing w:after="40" w:before="40"/>
            </w:pPr>
            <w:r/>
            <w:r>
              <w:rPr>
                <w:rFonts w:ascii="Calibri" w:hAnsi="Calibri"/>
                <w:color w:val="565656"/>
                <w:sz w:val="18"/>
              </w:rPr>
              <w:t>A form of proof the Rules do not require. Asking for a specialist's certificate where an ASHA worker's would do is asking for more than the law does.</w:t>
            </w:r>
          </w:p>
        </w:tc>
      </w:tr>
    </w:tbl>
    <w:p>
      <w:pPr>
        <w:spacing w:after="80"/>
      </w:pPr>
    </w:p>
    <w:p>
      <w:pPr>
        <w:keepNext w:val="0"/>
        <w:spacing w:after="160" w:before="0"/>
        <w:ind w:left="216"/>
      </w:pPr>
      <w:r>
        <w:rPr>
          <w:rFonts w:ascii="Calibri" w:hAnsi="Calibri"/>
          <w:b w:val="0"/>
          <w:i w:val="0"/>
          <w:color w:val="565656"/>
          <w:sz w:val="19"/>
        </w:rPr>
        <w:t>The Accredited Social Health Activist limb exists so that the proof is obtainable. A policy that demands a specialist's certificate is asking for more than the Rules do, and it will fall hardest on the women least able to get one.</w:t>
      </w:r>
    </w:p>
    <w:p>
      <w:r>
        <w:br w:type="page"/>
      </w:r>
    </w:p>
    <w:p>
      <w:pPr>
        <w:pStyle w:val="Heading1"/>
        <w:keepNext/>
        <w:spacing w:after="200" w:before="80"/>
        <w:ind w:left="115"/>
        <w:shd w:val="clear" w:fill="008CDB"/>
      </w:pPr>
      <w:r>
        <w:rPr>
          <w:rFonts w:ascii="Calibri" w:hAnsi="Calibri"/>
          <w:b/>
          <w:color w:val="FFFFFF"/>
          <w:sz w:val="22"/>
        </w:rPr>
        <w:t>Annexure E.  The Register of Women Employees, Form-XXII</w:t>
      </w:r>
    </w:p>
    <w:p>
      <w:pPr>
        <w:keepNext w:val="0"/>
        <w:spacing w:after="120" w:before="0"/>
      </w:pPr>
      <w:r>
        <w:rPr>
          <w:rFonts w:ascii="Calibri" w:hAnsi="Calibri"/>
          <w:b w:val="0"/>
          <w:i w:val="0"/>
          <w:color w:val="565656"/>
          <w:sz w:val="20"/>
        </w:rPr>
        <w:t>Rule 53(1)(a)(iv) requires every establishment to maintain a register of women employees in Form-XXII. It may be kept electronically or otherwise, and the entries are made in English and Hindi or the language understood by a majority of the people employed. Rule 40(1)(c)(ii) makes it something an Inspector-cum-Facilitator checks at every inspection.</w:t>
      </w:r>
    </w:p>
    <w:p>
      <w:pPr>
        <w:keepNext/>
        <w:spacing w:after="80" w:before="0"/>
      </w:pPr>
      <w:r>
        <w:rPr>
          <w:rFonts w:ascii="Calibri" w:hAnsi="Calibri"/>
          <w:b/>
          <w:i w:val="0"/>
          <w:color w:val="1D1D1D"/>
          <w:sz w:val="20"/>
        </w:rPr>
        <w:t>Twenty-three particulars:</w:t>
      </w:r>
    </w:p>
    <w:p>
      <w:pPr>
        <w:keepNext w:val="0"/>
        <w:spacing w:after="40" w:before="0"/>
        <w:ind w:left="288"/>
      </w:pPr>
      <w:r>
        <w:rPr>
          <w:rFonts w:ascii="Calibri" w:hAnsi="Calibri"/>
          <w:b w:val="0"/>
          <w:i w:val="0"/>
          <w:color w:val="565656"/>
          <w:sz w:val="19"/>
        </w:rPr>
        <w:t>1.  Name of establishment</w:t>
      </w:r>
    </w:p>
    <w:p>
      <w:pPr>
        <w:keepNext w:val="0"/>
        <w:spacing w:after="40" w:before="0"/>
        <w:ind w:left="288"/>
      </w:pPr>
      <w:r>
        <w:rPr>
          <w:rFonts w:ascii="Calibri" w:hAnsi="Calibri"/>
          <w:b w:val="0"/>
          <w:i w:val="0"/>
          <w:color w:val="565656"/>
          <w:sz w:val="19"/>
        </w:rPr>
        <w:t>2.  Name of the woman, and her father's or, if married, her husband's name</w:t>
      </w:r>
    </w:p>
    <w:p>
      <w:pPr>
        <w:keepNext w:val="0"/>
        <w:spacing w:after="40" w:before="0"/>
        <w:ind w:left="288"/>
      </w:pPr>
      <w:r>
        <w:rPr>
          <w:rFonts w:ascii="Calibri" w:hAnsi="Calibri"/>
          <w:b w:val="0"/>
          <w:i w:val="0"/>
          <w:color w:val="565656"/>
          <w:sz w:val="19"/>
        </w:rPr>
        <w:t>3.  Date of appointment</w:t>
      </w:r>
    </w:p>
    <w:p>
      <w:pPr>
        <w:keepNext w:val="0"/>
        <w:spacing w:after="40" w:before="0"/>
        <w:ind w:left="288"/>
      </w:pPr>
      <w:r>
        <w:rPr>
          <w:rFonts w:ascii="Calibri" w:hAnsi="Calibri"/>
          <w:b w:val="0"/>
          <w:i w:val="0"/>
          <w:color w:val="565656"/>
          <w:sz w:val="19"/>
        </w:rPr>
        <w:t>4.  Insurance number, where she is covered under ESIC</w:t>
      </w:r>
    </w:p>
    <w:p>
      <w:pPr>
        <w:keepNext w:val="0"/>
        <w:spacing w:after="40" w:before="0"/>
        <w:ind w:left="288"/>
      </w:pPr>
      <w:r>
        <w:rPr>
          <w:rFonts w:ascii="Calibri" w:hAnsi="Calibri"/>
          <w:b w:val="0"/>
          <w:i w:val="0"/>
          <w:color w:val="565656"/>
          <w:sz w:val="19"/>
        </w:rPr>
        <w:t>5.  Provident fund registration number, where she is covered under EPFO</w:t>
      </w:r>
    </w:p>
    <w:p>
      <w:pPr>
        <w:keepNext w:val="0"/>
        <w:spacing w:after="40" w:before="0"/>
        <w:ind w:left="288"/>
      </w:pPr>
      <w:r>
        <w:rPr>
          <w:rFonts w:ascii="Calibri" w:hAnsi="Calibri"/>
          <w:b w:val="0"/>
          <w:i w:val="0"/>
          <w:color w:val="565656"/>
          <w:sz w:val="19"/>
        </w:rPr>
        <w:t>6.  Nature of work</w:t>
      </w:r>
    </w:p>
    <w:p>
      <w:pPr>
        <w:keepNext w:val="0"/>
        <w:spacing w:after="40" w:before="0"/>
        <w:ind w:left="288"/>
      </w:pPr>
      <w:r>
        <w:rPr>
          <w:rFonts w:ascii="Calibri" w:hAnsi="Calibri"/>
          <w:b w:val="0"/>
          <w:i w:val="0"/>
          <w:color w:val="565656"/>
          <w:sz w:val="19"/>
        </w:rPr>
        <w:t>7.  Month by month, the days employed, laid off and not employed, with remarks</w:t>
      </w:r>
    </w:p>
    <w:p>
      <w:pPr>
        <w:keepNext w:val="0"/>
        <w:spacing w:after="40" w:before="0"/>
        <w:ind w:left="288"/>
      </w:pPr>
      <w:r>
        <w:rPr>
          <w:rFonts w:ascii="Calibri" w:hAnsi="Calibri"/>
          <w:b w:val="0"/>
          <w:i w:val="0"/>
          <w:color w:val="565656"/>
          <w:sz w:val="19"/>
        </w:rPr>
        <w:t>8.  Date on which she gives notice under section 62</w:t>
      </w:r>
    </w:p>
    <w:p>
      <w:pPr>
        <w:keepNext w:val="0"/>
        <w:spacing w:after="40" w:before="0"/>
        <w:ind w:left="288"/>
      </w:pPr>
      <w:r>
        <w:rPr>
          <w:rFonts w:ascii="Calibri" w:hAnsi="Calibri"/>
          <w:b w:val="0"/>
          <w:i w:val="0"/>
          <w:color w:val="565656"/>
          <w:sz w:val="19"/>
        </w:rPr>
        <w:t>9.  Date of discharge or dismissal, if any</w:t>
      </w:r>
    </w:p>
    <w:p>
      <w:pPr>
        <w:keepNext w:val="0"/>
        <w:spacing w:after="40" w:before="0"/>
        <w:ind w:left="288"/>
      </w:pPr>
      <w:r>
        <w:rPr>
          <w:rFonts w:ascii="Calibri" w:hAnsi="Calibri"/>
          <w:b w:val="0"/>
          <w:i w:val="0"/>
          <w:color w:val="565656"/>
          <w:sz w:val="19"/>
        </w:rPr>
        <w:t>10.  Date of production of proof of pregnancy under section 62</w:t>
      </w:r>
    </w:p>
    <w:p>
      <w:pPr>
        <w:keepNext w:val="0"/>
        <w:spacing w:after="40" w:before="0"/>
        <w:ind w:left="288"/>
      </w:pPr>
      <w:r>
        <w:rPr>
          <w:rFonts w:ascii="Calibri" w:hAnsi="Calibri"/>
          <w:b w:val="0"/>
          <w:i w:val="0"/>
          <w:color w:val="565656"/>
          <w:sz w:val="19"/>
        </w:rPr>
        <w:t>11.  Date of birth of the child</w:t>
      </w:r>
    </w:p>
    <w:p>
      <w:pPr>
        <w:keepNext w:val="0"/>
        <w:spacing w:after="40" w:before="0"/>
        <w:ind w:left="288"/>
      </w:pPr>
      <w:r>
        <w:rPr>
          <w:rFonts w:ascii="Calibri" w:hAnsi="Calibri"/>
          <w:b w:val="0"/>
          <w:i w:val="0"/>
          <w:color w:val="565656"/>
          <w:sz w:val="19"/>
        </w:rPr>
        <w:t>12.  Date of production of proof of delivery, miscarriage, medical termination, tubectomy, death or adoption of a child</w:t>
      </w:r>
    </w:p>
    <w:p>
      <w:pPr>
        <w:keepNext w:val="0"/>
        <w:spacing w:after="40" w:before="0"/>
        <w:ind w:left="288"/>
      </w:pPr>
      <w:r>
        <w:rPr>
          <w:rFonts w:ascii="Calibri" w:hAnsi="Calibri"/>
          <w:b w:val="0"/>
          <w:i w:val="0"/>
          <w:color w:val="565656"/>
          <w:sz w:val="19"/>
        </w:rPr>
        <w:t>13.  Date of production of proof of illness referred to in section 65</w:t>
      </w:r>
    </w:p>
    <w:p>
      <w:pPr>
        <w:keepNext w:val="0"/>
        <w:spacing w:after="40" w:before="0"/>
        <w:ind w:left="288"/>
      </w:pPr>
      <w:r>
        <w:rPr>
          <w:rFonts w:ascii="Calibri" w:hAnsi="Calibri"/>
          <w:b w:val="0"/>
          <w:i w:val="0"/>
          <w:color w:val="565656"/>
          <w:sz w:val="19"/>
        </w:rPr>
        <w:t>14.  Date and amount of maternity benefit paid in advance of expected delivery</w:t>
      </w:r>
    </w:p>
    <w:p>
      <w:pPr>
        <w:keepNext w:val="0"/>
        <w:spacing w:after="40" w:before="0"/>
        <w:ind w:left="288"/>
      </w:pPr>
      <w:r>
        <w:rPr>
          <w:rFonts w:ascii="Calibri" w:hAnsi="Calibri"/>
          <w:b w:val="0"/>
          <w:i w:val="0"/>
          <w:color w:val="565656"/>
          <w:sz w:val="19"/>
        </w:rPr>
        <w:t>15.  Date and amount of the subsequent payment of maternity benefit</w:t>
      </w:r>
    </w:p>
    <w:p>
      <w:pPr>
        <w:keepNext w:val="0"/>
        <w:spacing w:after="40" w:before="0"/>
        <w:ind w:left="288"/>
      </w:pPr>
      <w:r>
        <w:rPr>
          <w:rFonts w:ascii="Calibri" w:hAnsi="Calibri"/>
          <w:b w:val="0"/>
          <w:i w:val="0"/>
          <w:color w:val="565656"/>
          <w:sz w:val="19"/>
        </w:rPr>
        <w:t>16.  Date and amount of the bonus, if paid, under section 64</w:t>
      </w:r>
    </w:p>
    <w:p>
      <w:pPr>
        <w:keepNext w:val="0"/>
        <w:spacing w:after="40" w:before="0"/>
        <w:ind w:left="288"/>
      </w:pPr>
      <w:r>
        <w:rPr>
          <w:rFonts w:ascii="Calibri" w:hAnsi="Calibri"/>
          <w:b w:val="0"/>
          <w:i w:val="0"/>
          <w:color w:val="565656"/>
          <w:sz w:val="19"/>
        </w:rPr>
        <w:t>17.  Date and amount of wages paid for leave under section 65(1) and (3)</w:t>
      </w:r>
    </w:p>
    <w:p>
      <w:pPr>
        <w:keepNext w:val="0"/>
        <w:spacing w:after="40" w:before="0"/>
        <w:ind w:left="288"/>
      </w:pPr>
      <w:r>
        <w:rPr>
          <w:rFonts w:ascii="Calibri" w:hAnsi="Calibri"/>
          <w:b w:val="0"/>
          <w:i w:val="0"/>
          <w:color w:val="565656"/>
          <w:sz w:val="19"/>
        </w:rPr>
        <w:t>18.  Date and amount of wages paid for leave under section 65(2), and the period of leave granted</w:t>
      </w:r>
    </w:p>
    <w:p>
      <w:pPr>
        <w:keepNext w:val="0"/>
        <w:spacing w:after="40" w:before="0"/>
        <w:ind w:left="288"/>
      </w:pPr>
      <w:r>
        <w:rPr>
          <w:rFonts w:ascii="Calibri" w:hAnsi="Calibri"/>
          <w:b w:val="0"/>
          <w:i w:val="0"/>
          <w:color w:val="565656"/>
          <w:sz w:val="19"/>
        </w:rPr>
        <w:t>19.  Name of the person she nominated under section 62</w:t>
      </w:r>
    </w:p>
    <w:p>
      <w:pPr>
        <w:keepNext w:val="0"/>
        <w:spacing w:after="40" w:before="0"/>
        <w:ind w:left="288"/>
      </w:pPr>
      <w:r>
        <w:rPr>
          <w:rFonts w:ascii="Calibri" w:hAnsi="Calibri"/>
          <w:b w:val="0"/>
          <w:i w:val="0"/>
          <w:color w:val="565656"/>
          <w:sz w:val="19"/>
        </w:rPr>
        <w:t>20.  If she dies, the date of death, who was paid, how much, and when</w:t>
      </w:r>
    </w:p>
    <w:p>
      <w:pPr>
        <w:keepNext w:val="0"/>
        <w:spacing w:after="40" w:before="0"/>
        <w:ind w:left="288"/>
      </w:pPr>
      <w:r>
        <w:rPr>
          <w:rFonts w:ascii="Calibri" w:hAnsi="Calibri"/>
          <w:b w:val="0"/>
          <w:i w:val="0"/>
          <w:color w:val="565656"/>
          <w:sz w:val="19"/>
        </w:rPr>
        <w:t>21.  If she dies and the child survives, who was paid on the child's behalf and for what period</w:t>
      </w:r>
    </w:p>
    <w:p>
      <w:pPr>
        <w:keepNext w:val="0"/>
        <w:spacing w:after="40" w:before="0"/>
        <w:ind w:left="288"/>
      </w:pPr>
      <w:r>
        <w:rPr>
          <w:rFonts w:ascii="Calibri" w:hAnsi="Calibri"/>
          <w:b w:val="0"/>
          <w:i w:val="0"/>
          <w:color w:val="565656"/>
          <w:sz w:val="19"/>
        </w:rPr>
        <w:t>22.  Signature of the employer authenticating the entries</w:t>
      </w:r>
    </w:p>
    <w:p>
      <w:pPr>
        <w:keepNext w:val="0"/>
        <w:spacing w:after="40" w:before="0"/>
        <w:ind w:left="288"/>
      </w:pPr>
      <w:r>
        <w:rPr>
          <w:rFonts w:ascii="Calibri" w:hAnsi="Calibri"/>
          <w:b w:val="0"/>
          <w:i w:val="0"/>
          <w:color w:val="565656"/>
          <w:sz w:val="19"/>
        </w:rPr>
        <w:t>23.  Remarks column for the use of the Inspector-cum-Facilitator</w:t>
      </w:r>
    </w:p>
    <w:p>
      <w:pPr>
        <w:keepNext w:val="0"/>
        <w:spacing w:after="120" w:before="0"/>
        <w:ind w:left="216"/>
      </w:pPr>
      <w:r>
        <w:rPr>
          <w:rFonts w:ascii="Calibri" w:hAnsi="Calibri"/>
          <w:b w:val="0"/>
          <w:i/>
          <w:color w:val="565656"/>
          <w:sz w:val="19"/>
        </w:rPr>
        <w:t>Most of these are dates you already hold somewhere. The point of the register is that they sit in one place, in this order, when somebody asks.</w:t>
      </w:r>
    </w:p>
    <w:p>
      <w:pPr>
        <w:keepNext/>
        <w:spacing w:after="80" w:before="80"/>
      </w:pPr>
      <w:r>
        <w:rPr>
          <w:rFonts w:ascii="Calibri" w:hAnsi="Calibri"/>
          <w:b/>
          <w:i w:val="0"/>
          <w:color w:val="1D1D1D"/>
          <w:sz w:val="22"/>
        </w:rPr>
        <w:t>And the return that goes with it</w:t>
      </w:r>
    </w:p>
    <w:p>
      <w:pPr>
        <w:keepNext w:val="0"/>
        <w:spacing w:after="160" w:before="0"/>
        <w:ind w:left="216"/>
      </w:pPr>
      <w:r>
        <w:rPr>
          <w:rFonts w:ascii="Calibri" w:hAnsi="Calibri"/>
          <w:b w:val="0"/>
          <w:i w:val="0"/>
          <w:color w:val="565656"/>
          <w:sz w:val="19"/>
        </w:rPr>
        <w:t>Rule 53(5)(a) requires every employer to whom Chapter V or Chapter VI applies to upload a unified annual return in Form-XXIII on the Ministry of Labour and Employment web portal, on or before the 28th or 29th day of February each year, for the preceding year. Where the establishment is sold, abandoned or discontinued, a further return covers the part year.</w:t>
      </w:r>
    </w:p>
    <w:p>
      <w:r>
        <w:br w:type="page"/>
      </w:r>
    </w:p>
    <w:p>
      <w:pPr>
        <w:pStyle w:val="Heading1"/>
        <w:keepNext/>
        <w:spacing w:after="200" w:before="80"/>
        <w:ind w:left="115"/>
        <w:shd w:val="clear" w:fill="35A4E2"/>
      </w:pPr>
      <w:r>
        <w:rPr>
          <w:rFonts w:ascii="Calibri" w:hAnsi="Calibri"/>
          <w:b/>
          <w:color w:val="FFFFFF"/>
          <w:sz w:val="22"/>
        </w:rPr>
        <w:t>Ten ways a maternity policy goes wrong</w:t>
      </w:r>
    </w:p>
    <w:p>
      <w:pPr>
        <w:keepNext/>
        <w:spacing w:after="40" w:before="0"/>
        <w:ind w:left="216"/>
      </w:pPr>
      <w:r>
        <w:rPr>
          <w:rFonts w:ascii="Calibri" w:hAnsi="Calibri"/>
          <w:b/>
          <w:i w:val="0"/>
          <w:color w:val="1D1D1D"/>
          <w:sz w:val="20"/>
        </w:rPr>
        <w:t>1.  The policy says twenty-six weeks and stops</w:t>
      </w:r>
    </w:p>
    <w:p>
      <w:pPr>
        <w:keepNext w:val="0"/>
        <w:spacing w:after="120" w:before="0"/>
        <w:ind w:left="432"/>
      </w:pPr>
      <w:r>
        <w:rPr>
          <w:rFonts w:ascii="Calibri" w:hAnsi="Calibri"/>
          <w:b w:val="0"/>
          <w:i w:val="0"/>
          <w:color w:val="565656"/>
          <w:sz w:val="19"/>
        </w:rPr>
        <w:t>Twenty-six weeks is section 60(3). The chapter runs from 59 to 72. A policy that carries only the headline is missing the eighty-day qualification, the twelve-week limb, the medical bonus, the forty-eight hour deadline, the nursing breaks, the creche and both notice duties.</w:t>
      </w:r>
    </w:p>
    <w:p>
      <w:pPr>
        <w:keepNext/>
        <w:spacing w:after="40" w:before="0"/>
        <w:ind w:left="216"/>
      </w:pPr>
      <w:r>
        <w:rPr>
          <w:rFonts w:ascii="Calibri" w:hAnsi="Calibri"/>
          <w:b/>
          <w:i w:val="0"/>
          <w:color w:val="1D1D1D"/>
          <w:sz w:val="20"/>
        </w:rPr>
        <w:t>2.  Notice is written as a condition of the leave</w:t>
      </w:r>
    </w:p>
    <w:p>
      <w:pPr>
        <w:keepNext w:val="0"/>
        <w:spacing w:after="120" w:before="0"/>
        <w:ind w:left="432"/>
      </w:pPr>
      <w:r>
        <w:rPr>
          <w:rFonts w:ascii="Calibri" w:hAnsi="Calibri"/>
          <w:b w:val="0"/>
          <w:i w:val="0"/>
          <w:color w:val="565656"/>
          <w:sz w:val="19"/>
        </w:rPr>
        <w:t>Section 62(6) says in terms that failure to give notice does not disentitle her to maternity benefit or any other amount. A clause making the benefit conditional on notice is void against it.</w:t>
      </w:r>
    </w:p>
    <w:p>
      <w:pPr>
        <w:keepNext/>
        <w:spacing w:after="40" w:before="0"/>
        <w:ind w:left="216"/>
      </w:pPr>
      <w:r>
        <w:rPr>
          <w:rFonts w:ascii="Calibri" w:hAnsi="Calibri"/>
          <w:b/>
          <w:i w:val="0"/>
          <w:color w:val="1D1D1D"/>
          <w:sz w:val="20"/>
        </w:rPr>
        <w:t>3.  A doctor's certificate is demanded</w:t>
      </w:r>
    </w:p>
    <w:p>
      <w:pPr>
        <w:keepNext w:val="0"/>
        <w:spacing w:after="120" w:before="0"/>
        <w:ind w:left="432"/>
      </w:pPr>
      <w:r>
        <w:rPr>
          <w:rFonts w:ascii="Calibri" w:hAnsi="Calibri"/>
          <w:b w:val="0"/>
          <w:i w:val="0"/>
          <w:color w:val="565656"/>
          <w:sz w:val="19"/>
        </w:rPr>
        <w:t>Rule 35 accepts Form-X from a registered medical practitioner, an Accredited Social Health Activist or a qualified Auxiliary Nurse and Midwife. The ASHA limb exists so that the proof is obtainable.</w:t>
      </w:r>
    </w:p>
    <w:p>
      <w:pPr>
        <w:keepNext/>
        <w:spacing w:after="40" w:before="0"/>
        <w:ind w:left="216"/>
      </w:pPr>
      <w:r>
        <w:rPr>
          <w:rFonts w:ascii="Calibri" w:hAnsi="Calibri"/>
          <w:b/>
          <w:i w:val="0"/>
          <w:color w:val="1D1D1D"/>
          <w:sz w:val="20"/>
        </w:rPr>
        <w:t>4.  The twelve-week limb is left out</w:t>
      </w:r>
    </w:p>
    <w:p>
      <w:pPr>
        <w:keepNext w:val="0"/>
        <w:spacing w:after="120" w:before="0"/>
        <w:ind w:left="432"/>
      </w:pPr>
      <w:r>
        <w:rPr>
          <w:rFonts w:ascii="Calibri" w:hAnsi="Calibri"/>
          <w:b w:val="0"/>
          <w:i w:val="0"/>
          <w:color w:val="565656"/>
          <w:sz w:val="19"/>
        </w:rPr>
        <w:t>A woman with two or more surviving children gets twelve weeks, not twenty-six. A policy promising twenty-six to everyone will either be departed from, which looks arbitrary, or honoured, which is a cost nobody budgeted.</w:t>
      </w:r>
    </w:p>
    <w:p>
      <w:pPr>
        <w:keepNext/>
        <w:spacing w:after="40" w:before="0"/>
        <w:ind w:left="216"/>
      </w:pPr>
      <w:r>
        <w:rPr>
          <w:rFonts w:ascii="Calibri" w:hAnsi="Calibri"/>
          <w:b/>
          <w:i w:val="0"/>
          <w:color w:val="1D1D1D"/>
          <w:sz w:val="20"/>
        </w:rPr>
        <w:t>5.  Payment waits for the payroll cycle</w:t>
      </w:r>
    </w:p>
    <w:p>
      <w:pPr>
        <w:keepNext w:val="0"/>
        <w:spacing w:after="120" w:before="0"/>
        <w:ind w:left="432"/>
      </w:pPr>
      <w:r>
        <w:rPr>
          <w:rFonts w:ascii="Calibri" w:hAnsi="Calibri"/>
          <w:b w:val="0"/>
          <w:i w:val="0"/>
          <w:color w:val="565656"/>
          <w:sz w:val="19"/>
        </w:rPr>
        <w:t>The pre-delivery amount is payable in advance on proof of pregnancy and the balance within forty-eight hours of proof of delivery. Neither is a payroll-run event, and section 72 gives her a complaint if it is late.</w:t>
      </w:r>
    </w:p>
    <w:p>
      <w:pPr>
        <w:keepNext/>
        <w:spacing w:after="40" w:before="0"/>
        <w:ind w:left="216"/>
      </w:pPr>
      <w:r>
        <w:rPr>
          <w:rFonts w:ascii="Calibri" w:hAnsi="Calibri"/>
          <w:b/>
          <w:i w:val="0"/>
          <w:color w:val="1D1D1D"/>
          <w:sz w:val="20"/>
        </w:rPr>
        <w:t>6.  The creche is read as fifty women</w:t>
      </w:r>
    </w:p>
    <w:p>
      <w:pPr>
        <w:keepNext w:val="0"/>
        <w:spacing w:after="120" w:before="0"/>
        <w:ind w:left="432"/>
      </w:pPr>
      <w:r>
        <w:rPr>
          <w:rFonts w:ascii="Calibri" w:hAnsi="Calibri"/>
          <w:b w:val="0"/>
          <w:i w:val="0"/>
          <w:color w:val="565656"/>
          <w:sz w:val="19"/>
        </w:rPr>
        <w:t>Section 67(1) says fifty employees. A workshop of forty-eight men and three women is over the line.</w:t>
      </w:r>
    </w:p>
    <w:p>
      <w:pPr>
        <w:keepNext/>
        <w:spacing w:after="40" w:before="0"/>
        <w:ind w:left="216"/>
      </w:pPr>
      <w:r>
        <w:rPr>
          <w:rFonts w:ascii="Calibri" w:hAnsi="Calibri"/>
          <w:b/>
          <w:i w:val="0"/>
          <w:color w:val="1D1D1D"/>
          <w:sz w:val="20"/>
        </w:rPr>
        <w:t>7.  Nobody issues the intimation at appointment</w:t>
      </w:r>
    </w:p>
    <w:p>
      <w:pPr>
        <w:keepNext w:val="0"/>
        <w:spacing w:after="120" w:before="0"/>
        <w:ind w:left="432"/>
      </w:pPr>
      <w:r>
        <w:rPr>
          <w:rFonts w:ascii="Calibri" w:hAnsi="Calibri"/>
          <w:b w:val="0"/>
          <w:i w:val="0"/>
          <w:color w:val="565656"/>
          <w:sz w:val="19"/>
        </w:rPr>
        <w:t>Section 67(2) requires every benefit under the chapter to be intimated in writing and electronically at initial appointment. It is the duty most commonly missing, because it falls due when nothing is happening.</w:t>
      </w:r>
    </w:p>
    <w:p>
      <w:pPr>
        <w:keepNext/>
        <w:spacing w:after="40" w:before="0"/>
        <w:ind w:left="216"/>
      </w:pPr>
      <w:r>
        <w:rPr>
          <w:rFonts w:ascii="Calibri" w:hAnsi="Calibri"/>
          <w:b/>
          <w:i w:val="0"/>
          <w:color w:val="1D1D1D"/>
          <w:sz w:val="20"/>
        </w:rPr>
        <w:t>8.  The abstract is in English only</w:t>
      </w:r>
    </w:p>
    <w:p>
      <w:pPr>
        <w:keepNext w:val="0"/>
        <w:spacing w:after="120" w:before="0"/>
        <w:ind w:left="432"/>
      </w:pPr>
      <w:r>
        <w:rPr>
          <w:rFonts w:ascii="Calibri" w:hAnsi="Calibri"/>
          <w:b w:val="0"/>
          <w:i w:val="0"/>
          <w:color w:val="565656"/>
          <w:sz w:val="19"/>
        </w:rPr>
        <w:t>Section 71 says the language or languages of the locality. In most of India that is not English.</w:t>
      </w:r>
    </w:p>
    <w:p>
      <w:pPr>
        <w:keepNext/>
        <w:spacing w:after="40" w:before="0"/>
        <w:ind w:left="216"/>
      </w:pPr>
      <w:r>
        <w:rPr>
          <w:rFonts w:ascii="Calibri" w:hAnsi="Calibri"/>
          <w:b/>
          <w:i w:val="0"/>
          <w:color w:val="1D1D1D"/>
          <w:sz w:val="20"/>
        </w:rPr>
        <w:t>9.  Form-XIV is displayed, and nothing else</w:t>
      </w:r>
    </w:p>
    <w:p>
      <w:pPr>
        <w:keepNext w:val="0"/>
        <w:spacing w:after="120" w:before="0"/>
        <w:ind w:left="432"/>
      </w:pPr>
      <w:r>
        <w:rPr>
          <w:rFonts w:ascii="Calibri" w:hAnsi="Calibri"/>
          <w:b w:val="0"/>
          <w:i w:val="0"/>
          <w:color w:val="565656"/>
          <w:sz w:val="19"/>
        </w:rPr>
        <w:t>Rule 40(4) says the abstract shall be in Form-XIV, so displaying it is right. But Form-XIV is drafted on the Maternity Benefit Act, 1961, which Chapter VI repealed on 21-Nov-2025: it never mentions twenty-six weeks, it says six weeks where section 62(2) says eight, and it is silent on adoption, commissioning mothers, the creche and the intimation at appointment. Display it, and display something beside it that tells them the rest.</w:t>
      </w:r>
    </w:p>
    <w:p>
      <w:pPr>
        <w:keepNext/>
        <w:spacing w:after="40" w:before="0"/>
        <w:ind w:left="216"/>
      </w:pPr>
      <w:r>
        <w:rPr>
          <w:rFonts w:ascii="Calibri" w:hAnsi="Calibri"/>
          <w:b/>
          <w:i w:val="0"/>
          <w:color w:val="1D1D1D"/>
          <w:sz w:val="20"/>
        </w:rPr>
        <w:t>10.  There is no Register of Women Employees</w:t>
      </w:r>
    </w:p>
    <w:p>
      <w:pPr>
        <w:keepNext w:val="0"/>
        <w:spacing w:after="120" w:before="0"/>
        <w:ind w:left="432"/>
      </w:pPr>
      <w:r>
        <w:rPr>
          <w:rFonts w:ascii="Calibri" w:hAnsi="Calibri"/>
          <w:b w:val="0"/>
          <w:i w:val="0"/>
          <w:color w:val="565656"/>
          <w:sz w:val="19"/>
        </w:rPr>
        <w:t>Rule 53(1)(a)(iv) prescribes one, in Form-XXII, with twenty-three particulars, and rule 40(1)(c)(ii) puts it on the Inspector-cum-Facilitator's list for every inspection. It is the duty this library has never seen in anybody's maternity policy.</w:t>
      </w:r>
    </w:p>
    <w:p>
      <w:pPr>
        <w:pStyle w:val="Heading1"/>
        <w:keepNext/>
        <w:spacing w:after="200" w:before="80"/>
        <w:ind w:left="115"/>
        <w:shd w:val="clear" w:fill="008CDB"/>
      </w:pPr>
      <w:r>
        <w:rPr>
          <w:rFonts w:ascii="Calibri" w:hAnsi="Calibri"/>
          <w:b/>
          <w:color w:val="FFFFFF"/>
          <w:sz w:val="22"/>
        </w:rPr>
        <w:t>Eighteen checks before you adopt this</w:t>
      </w:r>
    </w:p>
    <w:p>
      <w:pPr>
        <w:keepNext w:val="0"/>
        <w:spacing w:after="80" w:before="0"/>
        <w:ind w:left="216"/>
      </w:pPr>
      <w:r>
        <w:rPr>
          <w:rFonts w:ascii="Calibri" w:hAnsi="Calibri"/>
          <w:b w:val="0"/>
          <w:i w:val="0"/>
          <w:color w:val="565656"/>
          <w:sz w:val="19"/>
        </w:rPr>
        <w:t>1.  Search the file for a square bracket. Every placeholder is in [CAPITALS IN SQUARE BRACKETS] and each one names itself, so Find and Replace is safe. The single exception is [See rule 40(4)] in the title of Form-XIV at Annexure C, which is part of the gazetted form and stays as it is.</w:t>
      </w:r>
    </w:p>
    <w:p>
      <w:pPr>
        <w:keepNext w:val="0"/>
        <w:spacing w:after="80" w:before="0"/>
        <w:ind w:left="216"/>
      </w:pPr>
      <w:r>
        <w:rPr>
          <w:rFonts w:ascii="Calibri" w:hAnsi="Calibri"/>
          <w:b w:val="0"/>
          <w:i w:val="0"/>
          <w:color w:val="565656"/>
          <w:sz w:val="19"/>
        </w:rPr>
        <w:t>2.  Confirm Chapter VI reaches you at all: every factory, mine or plantation, and every shop or establishment with ten or more employees, or that employed ten on any day of the preceding twelve months.</w:t>
      </w:r>
    </w:p>
    <w:p>
      <w:pPr>
        <w:keepNext w:val="0"/>
        <w:spacing w:after="80" w:before="0"/>
        <w:ind w:left="216"/>
      </w:pPr>
      <w:r>
        <w:rPr>
          <w:rFonts w:ascii="Calibri" w:hAnsi="Calibri"/>
          <w:b w:val="0"/>
          <w:i w:val="0"/>
          <w:color w:val="565656"/>
          <w:sz w:val="19"/>
        </w:rPr>
        <w:t>3.  Put the eighty-day qualification in the policy, and tell a woman who has not reached it at the time she gives notice, not at the time she expects payment.</w:t>
      </w:r>
    </w:p>
    <w:p>
      <w:pPr>
        <w:keepNext w:val="0"/>
        <w:spacing w:after="80" w:before="0"/>
        <w:ind w:left="216"/>
      </w:pPr>
      <w:r>
        <w:rPr>
          <w:rFonts w:ascii="Calibri" w:hAnsi="Calibri"/>
          <w:b w:val="0"/>
          <w:i w:val="0"/>
          <w:color w:val="565656"/>
          <w:sz w:val="19"/>
        </w:rPr>
        <w:t>4.  Check the twelve-week limb is in your policy, for a woman with two or more surviving children and for adoption and commissioning mothers.</w:t>
      </w:r>
    </w:p>
    <w:p>
      <w:pPr>
        <w:keepNext w:val="0"/>
        <w:spacing w:after="80" w:before="0"/>
        <w:ind w:left="216"/>
      </w:pPr>
      <w:r>
        <w:rPr>
          <w:rFonts w:ascii="Calibri" w:hAnsi="Calibri"/>
          <w:b w:val="0"/>
          <w:i w:val="0"/>
          <w:color w:val="565656"/>
          <w:sz w:val="19"/>
        </w:rPr>
        <w:t>5.  Set up the payment so the pre-delivery amount goes in advance and the balance within forty-eight hours of proof, not with the next payroll.</w:t>
      </w:r>
    </w:p>
    <w:p>
      <w:pPr>
        <w:keepNext w:val="0"/>
        <w:spacing w:after="80" w:before="0"/>
        <w:ind w:left="216"/>
      </w:pPr>
      <w:r>
        <w:rPr>
          <w:rFonts w:ascii="Calibri" w:hAnsi="Calibri"/>
          <w:b w:val="0"/>
          <w:i w:val="0"/>
          <w:color w:val="565656"/>
          <w:sz w:val="19"/>
        </w:rPr>
        <w:t>6.  Add the four entitlements that are not the main leave: six weeks for miscarriage, two for tubectomy, one month for illness, and nursing breaks to fifteen months.</w:t>
      </w:r>
    </w:p>
    <w:p>
      <w:pPr>
        <w:keepNext w:val="0"/>
        <w:spacing w:after="80" w:before="0"/>
        <w:ind w:left="216"/>
      </w:pPr>
      <w:r>
        <w:rPr>
          <w:rFonts w:ascii="Calibri" w:hAnsi="Calibri"/>
          <w:b w:val="0"/>
          <w:i w:val="0"/>
          <w:color w:val="565656"/>
          <w:sz w:val="19"/>
        </w:rPr>
        <w:t>7.  Do not ask for a doctor's certificate where the Rules accept Form-X from an ASHA worker or an Auxiliary Nurse and Midwife.</w:t>
      </w:r>
    </w:p>
    <w:p>
      <w:pPr>
        <w:keepNext w:val="0"/>
        <w:spacing w:after="80" w:before="0"/>
        <w:ind w:left="216"/>
      </w:pPr>
      <w:r>
        <w:rPr>
          <w:rFonts w:ascii="Calibri" w:hAnsi="Calibri"/>
          <w:b w:val="0"/>
          <w:i w:val="0"/>
          <w:color w:val="565656"/>
          <w:sz w:val="19"/>
        </w:rPr>
        <w:t>8.  Issue the intimation at Annexure B to every woman at appointment, in writing AND electronically, and keep proof you did.</w:t>
      </w:r>
    </w:p>
    <w:p>
      <w:pPr>
        <w:keepNext w:val="0"/>
        <w:spacing w:after="80" w:before="0"/>
        <w:ind w:left="216"/>
      </w:pPr>
      <w:r>
        <w:rPr>
          <w:rFonts w:ascii="Calibri" w:hAnsi="Calibri"/>
          <w:b w:val="0"/>
          <w:i w:val="0"/>
          <w:color w:val="565656"/>
          <w:sz w:val="19"/>
        </w:rPr>
        <w:t>9.  Display Form-XIV, reproduced at Annexure C, translated into the language of the locality, in every part of the establishment where women are employed. Do not display wording of your own instead of it.</w:t>
      </w:r>
    </w:p>
    <w:p>
      <w:pPr>
        <w:keepNext w:val="0"/>
        <w:spacing w:after="80" w:before="0"/>
        <w:ind w:left="216"/>
      </w:pPr>
      <w:r>
        <w:rPr>
          <w:rFonts w:ascii="Calibri" w:hAnsi="Calibri"/>
          <w:b w:val="0"/>
          <w:i w:val="0"/>
          <w:color w:val="565656"/>
          <w:sz w:val="19"/>
        </w:rPr>
        <w:t>10.  If you ordinarily employ fifty or more, work through the creche criteria at Annexure D before you assume a room will do.</w:t>
      </w:r>
    </w:p>
    <w:p>
      <w:pPr>
        <w:keepNext w:val="0"/>
        <w:spacing w:after="80" w:before="0"/>
        <w:ind w:left="216"/>
      </w:pPr>
      <w:r>
        <w:rPr>
          <w:rFonts w:ascii="Calibri" w:hAnsi="Calibri"/>
          <w:b w:val="0"/>
          <w:i w:val="0"/>
          <w:color w:val="565656"/>
          <w:sz w:val="19"/>
        </w:rPr>
        <w:t>11.  Check no clause makes notice a condition of the benefit, because section 62(6) says failure to give notice does not disentitle her.</w:t>
      </w:r>
    </w:p>
    <w:p>
      <w:pPr>
        <w:keepNext w:val="0"/>
        <w:spacing w:after="80" w:before="0"/>
        <w:ind w:left="216"/>
      </w:pPr>
      <w:r>
        <w:rPr>
          <w:rFonts w:ascii="Calibri" w:hAnsi="Calibri"/>
          <w:b w:val="0"/>
          <w:i w:val="0"/>
          <w:color w:val="565656"/>
          <w:sz w:val="19"/>
        </w:rPr>
        <w:t>12.  Check your disciplinary rules do not allow maternity benefit to be withdrawn for anything outside rule 38's five grounds.</w:t>
      </w:r>
    </w:p>
    <w:p>
      <w:pPr>
        <w:keepNext w:val="0"/>
        <w:spacing w:after="80" w:before="0"/>
        <w:ind w:left="216"/>
      </w:pPr>
      <w:r>
        <w:rPr>
          <w:rFonts w:ascii="Calibri" w:hAnsi="Calibri"/>
          <w:b w:val="0"/>
          <w:i w:val="0"/>
          <w:color w:val="565656"/>
          <w:sz w:val="19"/>
        </w:rPr>
        <w:t>13.  Put the supplement at Annexure C up beside Form-XIV, because Form-XIV never mentions twenty-six weeks, adoption, commissioning mothers, the creche or the intimation you owe at appointment.</w:t>
      </w:r>
    </w:p>
    <w:p>
      <w:pPr>
        <w:keepNext w:val="0"/>
        <w:spacing w:after="80" w:before="0"/>
        <w:ind w:left="216"/>
      </w:pPr>
      <w:r>
        <w:rPr>
          <w:rFonts w:ascii="Calibri" w:hAnsi="Calibri"/>
          <w:b w:val="0"/>
          <w:i w:val="0"/>
          <w:color w:val="565656"/>
          <w:sz w:val="19"/>
        </w:rPr>
        <w:t>14.  Open a Register of Women Employees in Form-XXII, with the twenty-three particulars at Annexure E, electronically or on paper.</w:t>
      </w:r>
    </w:p>
    <w:p>
      <w:pPr>
        <w:keepNext w:val="0"/>
        <w:spacing w:after="80" w:before="0"/>
        <w:ind w:left="216"/>
      </w:pPr>
      <w:r>
        <w:rPr>
          <w:rFonts w:ascii="Calibri" w:hAnsi="Calibri"/>
          <w:b w:val="0"/>
          <w:i w:val="0"/>
          <w:color w:val="565656"/>
          <w:sz w:val="19"/>
        </w:rPr>
        <w:t>15.  Put the Form-XXIII annual return in the calendar for the 28th of February, for the preceding year.</w:t>
      </w:r>
    </w:p>
    <w:p>
      <w:pPr>
        <w:keepNext w:val="0"/>
        <w:spacing w:after="80" w:before="0"/>
        <w:ind w:left="216"/>
      </w:pPr>
      <w:r>
        <w:rPr>
          <w:rFonts w:ascii="Calibri" w:hAnsi="Calibri"/>
          <w:b w:val="0"/>
          <w:i w:val="0"/>
          <w:color w:val="565656"/>
          <w:sz w:val="19"/>
        </w:rPr>
        <w:t>16.  Be ready to hand a woman free copies of Form-X, Form-XI, Form-XII, Form-XIII-A and Form-XIII-B when she asks, which rule 40(2) requires.</w:t>
      </w:r>
    </w:p>
    <w:p>
      <w:pPr>
        <w:keepNext w:val="0"/>
        <w:spacing w:after="80" w:before="0"/>
        <w:ind w:left="216"/>
      </w:pPr>
      <w:r>
        <w:rPr>
          <w:rFonts w:ascii="Calibri" w:hAnsi="Calibri"/>
          <w:b w:val="0"/>
          <w:i w:val="0"/>
          <w:color w:val="565656"/>
          <w:sz w:val="19"/>
        </w:rPr>
        <w:t>17.  Decide once, before you open the register, whether it is kept on paper or electronically. Rule 53(1)(b) allows either, and the answer decides whether the Digital Personal Data Protection Act, 2023 reaches it: section 3(a) covers data collected in digital form, or on paper and digitised later.</w:t>
      </w:r>
    </w:p>
    <w:p>
      <w:pPr>
        <w:keepNext w:val="0"/>
        <w:spacing w:after="80" w:before="0"/>
        <w:ind w:left="216"/>
      </w:pPr>
      <w:r>
        <w:rPr>
          <w:rFonts w:ascii="Calibri" w:hAnsi="Calibri"/>
          <w:b w:val="0"/>
          <w:i w:val="0"/>
          <w:color w:val="565656"/>
          <w:sz w:val="19"/>
        </w:rPr>
        <w:t>18.  Tell your leave system two things about the maternity absence: it counts towards the one hundred and eighty days that qualify her for annual leave, and it earns her no annual leave of its own. Section 32(1)(iii) of the OSH Code, 2020.</w:t>
      </w:r>
    </w:p>
    <w:p>
      <w:pPr>
        <w:spacing w:after="160" w:before="160"/>
        <w:pBdr>
          <w:bottom w:val="single" w:sz="6" w:space="1" w:color="D1EAF9"/>
        </w:pBdr>
      </w:pPr>
    </w:p>
    <w:p>
      <w:pPr>
        <w:pStyle w:val="Heading1"/>
        <w:keepNext/>
        <w:spacing w:after="200" w:before="80"/>
        <w:ind w:left="115"/>
        <w:shd w:val="clear" w:fill="35A4E2"/>
      </w:pPr>
      <w:r>
        <w:rPr>
          <w:rFonts w:ascii="Calibri" w:hAnsi="Calibri"/>
          <w:b/>
          <w:color w:val="FFFFFF"/>
          <w:sz w:val="22"/>
        </w:rPr>
        <w:t>What this was read from</w:t>
      </w:r>
    </w:p>
    <w:p>
      <w:pPr>
        <w:keepNext w:val="0"/>
        <w:spacing w:after="60" w:before="0"/>
        <w:ind w:left="216"/>
      </w:pPr>
      <w:r>
        <w:rPr>
          <w:rFonts w:ascii="Calibri" w:hAnsi="Calibri"/>
          <w:b w:val="0"/>
          <w:i w:val="0"/>
          <w:color w:val="565656"/>
          <w:sz w:val="18"/>
        </w:rPr>
        <w:t>•  Code on Social Security, 2020 (36 of 2020), Chapter VI, sections 59 to 72, and the First Schedule, with s.2(91) on who counts as a woman. Read from the gazette copy at labour.maharashtra.gov.in/sites/default/files/2026-04/the-code-on-social-security-2020-no-36-of-2020.pdf, fetched 16-Sep-2026.</w:t>
      </w:r>
    </w:p>
    <w:p>
      <w:pPr>
        <w:keepNext w:val="0"/>
        <w:spacing w:after="60" w:before="0"/>
        <w:ind w:left="216"/>
      </w:pPr>
      <w:r>
        <w:rPr>
          <w:rFonts w:ascii="Calibri" w:hAnsi="Calibri"/>
          <w:b w:val="0"/>
          <w:i w:val="0"/>
          <w:color w:val="565656"/>
          <w:sz w:val="18"/>
        </w:rPr>
        <w:t>•  Code on Social Security, 2020, section 41(7)(b) and section 161.</w:t>
      </w:r>
    </w:p>
    <w:p>
      <w:pPr>
        <w:keepNext w:val="0"/>
        <w:spacing w:after="60" w:before="0"/>
        <w:ind w:left="216"/>
      </w:pPr>
      <w:r>
        <w:rPr>
          <w:rFonts w:ascii="Calibri" w:hAnsi="Calibri"/>
          <w:b w:val="0"/>
          <w:i w:val="0"/>
          <w:color w:val="565656"/>
          <w:sz w:val="18"/>
        </w:rPr>
        <w:t>•  Social Security (Central) Rules, 2026, G.S.R. 344(E) dated 08-May-2026, at labour.maharashtra.gov.in/sites/default/files/2026-05/social-security-central-rules-2026.pdf, fetched 16-Sep-2026: rule 22(3)(a) on the seventy-day qualification, rule 35 on Form-X, rule 36 on nursing breaks, rule 37 on the creche, rule 38 on gross misconduct, rule 39 on the complaint and the appeal, rule 40(4) prescribing Form-XIV as the displayed abstract, and rule 53 on the Register of Women Employees in Form-XXII.</w:t>
      </w:r>
    </w:p>
    <w:p>
      <w:pPr>
        <w:keepNext w:val="0"/>
        <w:spacing w:after="60" w:before="0"/>
        <w:ind w:left="216"/>
      </w:pPr>
      <w:r>
        <w:rPr>
          <w:rFonts w:ascii="Calibri" w:hAnsi="Calibri"/>
          <w:b w:val="0"/>
          <w:i w:val="0"/>
          <w:color w:val="565656"/>
          <w:sz w:val="18"/>
        </w:rPr>
        <w:t>•  Code on Wages, 2019, for the minimum wage floor the Explanation to section 60(1) refers to.</w:t>
      </w:r>
    </w:p>
    <w:p>
      <w:pPr>
        <w:keepNext w:val="0"/>
        <w:spacing w:after="60" w:before="0"/>
        <w:ind w:left="216"/>
      </w:pPr>
      <w:r>
        <w:rPr>
          <w:rFonts w:ascii="Calibri" w:hAnsi="Calibri"/>
          <w:b w:val="0"/>
          <w:i w:val="0"/>
          <w:color w:val="565656"/>
          <w:sz w:val="18"/>
        </w:rPr>
        <w:t>•  The Maternity Benefit Act, 1961 is named here only as the statute Chapter VI replaced. It was repealed on 21-Nov-2025 and is not current law.</w:t>
      </w:r>
    </w:p>
    <w:p>
      <w:pPr>
        <w:keepNext w:val="0"/>
        <w:spacing w:after="80" w:before="0"/>
      </w:pPr>
      <w:r>
        <w:rPr>
          <w:rFonts w:ascii="Calibri" w:hAnsi="Calibri"/>
          <w:b w:val="0"/>
          <w:i/>
          <w:color w:val="565656"/>
          <w:sz w:val="18"/>
        </w:rPr>
        <w:t>Provided by Attendo (formerly Petpooja Payroll) for general guidance. It is not legal advice. Chapter VI and the Rules were read from gazette copies on 16-Sep-2026. Rules, state notifications and a decision of a court or authority can change what applies to you.</w:t>
      </w:r>
    </w:p>
    <w:sectPr w:rsidR="00FC693F" w:rsidRPr="0006063C" w:rsidSect="00034616">
      <w:footerReference w:type="default" r:id="rId9"/>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Calibri" w:hAnsi="Calibri"/>
        <w:color w:val="8A8A8A"/>
        <w:sz w:val="15"/>
      </w:rPr>
      <w:t xml:space="preserve">Attendo (formerly Petpooja Payroll)  ·  attendohr.com  ·  Maternity Leave Policy Template  ·  reviewed 16-Sep-2026  ·  page </w:t>
    </w:r>
    <w:r>
      <w:rPr>
        <w:rFonts w:ascii="Calibri" w:hAnsi="Calibri"/>
        <w:color w:val="8A8A8A"/>
        <w:sz w:val="15"/>
      </w:rPr>
      <w:fldChar w:fldCharType="begin"/>
    </w:r>
    <w:r>
      <w:rPr>
        <w:rFonts w:ascii="Calibri" w:hAnsi="Calibri"/>
        <w:color w:val="8A8A8A"/>
        <w:sz w:val="15"/>
      </w:rPr>
      <w:instrText xml:space="preserve"> PAGE </w:instrText>
    </w:r>
    <w:r>
      <w:rPr>
        <w:rFonts w:ascii="Calibri" w:hAnsi="Calibri"/>
        <w:color w:val="8A8A8A"/>
        <w:sz w:val="15"/>
      </w:rP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1D1D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Maternity Leave Policy Template (India)</dc:title>
  <dc:subject/>
  <dc:creator>Attendo</dc:creator>
  <cp:keywords>maternity leave policy india, maternity benefit, Code on Social Security</cp:keywords>
  <dc:description>A maternity leave policy built clause by clause from Chapter VI of the Code on Social Security, 2020 and the Social Security (Central) Rules, 2026. Reviewed 16-Sep-2026.</dc:description>
  <cp:lastModifiedBy/>
  <cp:revision>1</cp:revision>
  <dcterms:created xsi:type="dcterms:W3CDTF">2013-12-23T23:15:00Z</dcterms:created>
  <dcterms:modified xsi:type="dcterms:W3CDTF">2013-12-23T23:15:00Z</dcterms:modified>
  <cp:category>HR Template</cp:category>
</cp:coreProperties>
</file>