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2"/>
        </w:rPr>
        <w:t>Grievance Redressal Committee</w:t>
      </w:r>
    </w:p>
    <w:p>
      <w:pPr>
        <w:keepNext w:val="0"/>
        <w:spacing w:after="200" w:before="0"/>
      </w:pPr>
      <w:r>
        <w:rPr>
          <w:rFonts w:ascii="Calibri" w:hAnsi="Calibri"/>
          <w:b w:val="0"/>
          <w:i w:val="0"/>
          <w:color w:val="565656"/>
          <w:sz w:val="32"/>
        </w:rPr>
        <w:t>Policy, constitution and ten formats</w:t>
      </w:r>
    </w:p>
    <w:p>
      <w:pPr>
        <w:keepNext w:val="0"/>
        <w:spacing w:after="320" w:before="0"/>
      </w:pPr>
      <w:r>
        <w:rPr>
          <w:rFonts w:ascii="Calibri" w:hAnsi="Calibri"/>
          <w:b w:val="0"/>
          <w:i w:val="0"/>
          <w:color w:val="565656"/>
          <w:sz w:val="24"/>
        </w:rPr>
        <w:t>Built on section 4 of the Industrial Relations Code, 2020 and rules 6 to 8 of the Industrial Relations (Central) Rules, 2026</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280" w:before="0"/>
        <w:ind w:left="173"/>
        <w:shd w:val="clear" w:fill="F4FAFE"/>
      </w:pPr>
      <w:r>
        <w:rPr>
          <w:rFonts w:ascii="Calibri" w:hAnsi="Calibri"/>
          <w:b w:val="0"/>
          <w:i w:val="0"/>
          <w:color w:val="1D1D1D"/>
          <w:sz w:val="22"/>
        </w:rPr>
        <w:t>Twenty workers. That is the whole trigger. No government order, no notification, no minimum turnover. It is the lowest headcount duty in the Code and the one most HR teams have never constituted.</w:t>
      </w:r>
    </w:p>
    <w:p>
      <w:pPr>
        <w:keepNext w:val="0"/>
        <w:spacing w:after="160" w:before="160"/>
      </w:pPr>
      <w:r>
        <w:rPr>
          <w:rFonts w:ascii="Calibri" w:hAnsi="Calibri"/>
          <w:b/>
          <w:i w:val="0"/>
          <w:color w:val="1D1D1D"/>
          <w:sz w:val="24"/>
        </w:rPr>
        <w:t>Contents</w:t>
      </w:r>
    </w:p>
    <w:p>
      <w:pPr>
        <w:keepNext w:val="0"/>
        <w:spacing w:after="60" w:before="0"/>
        <w:ind w:left="216"/>
      </w:pPr>
      <w:r>
        <w:rPr>
          <w:rFonts w:ascii="Calibri" w:hAnsi="Calibri"/>
          <w:b w:val="0"/>
          <w:i w:val="0"/>
          <w:color w:val="565656"/>
          <w:sz w:val="20"/>
        </w:rPr>
        <w:t>1.   Whether section 4 reaches you at all, and the words you will meet</w:t>
      </w:r>
    </w:p>
    <w:p>
      <w:pPr>
        <w:keepNext w:val="0"/>
        <w:spacing w:after="60" w:before="0"/>
        <w:ind w:left="216"/>
      </w:pPr>
      <w:r>
        <w:rPr>
          <w:rFonts w:ascii="Calibri" w:hAnsi="Calibri"/>
          <w:b w:val="0"/>
          <w:i w:val="0"/>
          <w:color w:val="565656"/>
          <w:sz w:val="20"/>
        </w:rPr>
        <w:t>2.   The grievance clock, in five steps</w:t>
      </w:r>
    </w:p>
    <w:p>
      <w:pPr>
        <w:keepNext w:val="0"/>
        <w:spacing w:after="60" w:before="0"/>
        <w:ind w:left="216"/>
      </w:pPr>
      <w:r>
        <w:rPr>
          <w:rFonts w:ascii="Calibri" w:hAnsi="Calibri"/>
          <w:b w:val="0"/>
          <w:i w:val="0"/>
          <w:color w:val="565656"/>
          <w:sz w:val="20"/>
        </w:rPr>
        <w:t>3.   How to constitute the committee</w:t>
      </w:r>
    </w:p>
    <w:p>
      <w:pPr>
        <w:keepNext w:val="0"/>
        <w:spacing w:after="60" w:before="0"/>
        <w:ind w:left="216"/>
      </w:pPr>
      <w:r>
        <w:rPr>
          <w:rFonts w:ascii="Calibri" w:hAnsi="Calibri"/>
          <w:b w:val="0"/>
          <w:i w:val="0"/>
          <w:color w:val="565656"/>
          <w:sz w:val="20"/>
        </w:rPr>
        <w:t>4.   What this pack does not claim</w:t>
      </w:r>
    </w:p>
    <w:p>
      <w:pPr>
        <w:keepNext w:val="0"/>
        <w:spacing w:after="60" w:before="0"/>
        <w:ind w:left="216"/>
      </w:pPr>
      <w:r>
        <w:rPr>
          <w:rFonts w:ascii="Calibri" w:hAnsi="Calibri"/>
          <w:b w:val="0"/>
          <w:i w:val="0"/>
          <w:color w:val="565656"/>
          <w:sz w:val="20"/>
        </w:rPr>
        <w:t>5.   Ten formats, and when to use each</w:t>
      </w:r>
    </w:p>
    <w:p>
      <w:pPr>
        <w:keepNext w:val="0"/>
        <w:spacing w:after="60" w:before="0"/>
        <w:ind w:left="216"/>
      </w:pPr>
      <w:r>
        <w:rPr>
          <w:rFonts w:ascii="Calibri" w:hAnsi="Calibri"/>
          <w:b w:val="0"/>
          <w:i w:val="0"/>
          <w:color w:val="565656"/>
          <w:sz w:val="20"/>
        </w:rPr>
        <w:t>6.   The formats</w:t>
      </w:r>
    </w:p>
    <w:p>
      <w:pPr>
        <w:keepNext w:val="0"/>
        <w:spacing w:after="60" w:before="0"/>
        <w:ind w:left="216"/>
      </w:pPr>
      <w:r>
        <w:rPr>
          <w:rFonts w:ascii="Calibri" w:hAnsi="Calibri"/>
          <w:b w:val="0"/>
          <w:i w:val="0"/>
          <w:color w:val="565656"/>
          <w:sz w:val="20"/>
        </w:rPr>
        <w:t>7.   Nine mistakes employers make</w:t>
      </w:r>
    </w:p>
    <w:p>
      <w:pPr>
        <w:keepNext w:val="0"/>
        <w:spacing w:after="60" w:before="0"/>
        <w:ind w:left="216"/>
      </w:pPr>
      <w:r>
        <w:rPr>
          <w:rFonts w:ascii="Calibri" w:hAnsi="Calibri"/>
          <w:b w:val="0"/>
          <w:i w:val="0"/>
          <w:color w:val="565656"/>
          <w:sz w:val="20"/>
        </w:rPr>
        <w:t>8.   Fifteen checks, and where every line comes from</w:t>
      </w:r>
    </w:p>
    <w:p>
      <w:pPr>
        <w:keepNext w:val="0"/>
        <w:spacing w:after="120" w:before="280"/>
      </w:pPr>
      <w:r>
        <w:rPr>
          <w:rFonts w:ascii="Calibri" w:hAnsi="Calibri"/>
          <w:b/>
          <w:i w:val="0"/>
          <w:color w:val="1D1D1D"/>
          <w:sz w:val="22"/>
        </w:rPr>
        <w:t>Three questions, and you know where you stand</w:t>
      </w:r>
    </w:p>
    <w:p>
      <w:pPr>
        <w:keepNext w:val="0"/>
        <w:spacing w:after="80" w:before="0"/>
        <w:ind w:left="173"/>
        <w:shd w:val="clear" w:fill="F4FAFE"/>
      </w:pPr>
      <w:r>
        <w:rPr>
          <w:rFonts w:ascii="Calibri" w:hAnsi="Calibri"/>
          <w:b w:val="0"/>
          <w:i w:val="0"/>
          <w:color w:val="1D1D1D"/>
          <w:sz w:val="20"/>
        </w:rPr>
        <w:t>1.  Do you employ TWENTY or more workers, counted the way section 2(zr) counts them, leaving out managers, administrative staff, supervisors on wages above ₹18,000 a month and apprentices?   No: section 4 does not reach you and none of this is compulsory.   Yes: carry on.</w:t>
      </w:r>
    </w:p>
    <w:p>
      <w:pPr>
        <w:keepNext w:val="0"/>
        <w:spacing w:after="80" w:before="0"/>
        <w:ind w:left="173"/>
        <w:shd w:val="clear" w:fill="F4FAFE"/>
      </w:pPr>
      <w:r>
        <w:rPr>
          <w:rFonts w:ascii="Calibri" w:hAnsi="Calibri"/>
          <w:b w:val="0"/>
          <w:i w:val="0"/>
          <w:color w:val="1D1D1D"/>
          <w:sz w:val="20"/>
        </w:rPr>
        <w:t>2.  Is yours a railway, mine, oil field, major port, air transport, telecommunication, banking or insurance establishment, a central public sector undertaking or similar?   Yes: rules 6 to 8 quoted here are your rules.   No: your State is the appropriate Government. Section 4 still binds you, and this pack is your model, but check your State's rules for the manner.</w:t>
      </w:r>
    </w:p>
    <w:p>
      <w:pPr>
        <w:keepNext w:val="0"/>
        <w:spacing w:after="200" w:before="0"/>
        <w:ind w:left="173"/>
        <w:shd w:val="clear" w:fill="F4FAFE"/>
      </w:pPr>
      <w:r>
        <w:rPr>
          <w:rFonts w:ascii="Calibri" w:hAnsi="Calibri"/>
          <w:b w:val="0"/>
          <w:i w:val="0"/>
          <w:color w:val="1D1D1D"/>
          <w:sz w:val="20"/>
        </w:rPr>
        <w:t>3.  Is a trade union recognised in your establishment as a negotiating union or a negotiating council under section 14?   Yes: it nominates the worker members.   No: the workers choose their own, which is rule 6(3)(c) and the commonest case.</w:t>
      </w:r>
    </w:p>
    <w:p>
      <w:pPr>
        <w:keepNext w:val="0"/>
        <w:spacing w:after="120" w:before="80"/>
      </w:pPr>
      <w:r>
        <w:rPr>
          <w:rFonts w:ascii="Calibri" w:hAnsi="Calibri"/>
          <w:b w:val="0"/>
          <w:i/>
          <w:color w:val="565656"/>
          <w:sz w:val="18"/>
        </w:rPr>
        <w:t>Every line in this pack was read at the cited provision in the gazette, on 24-Sep-2026. Nothing here is quoted from commentary.</w:t>
      </w:r>
    </w:p>
    <w:p>
      <w:pPr>
        <w:keepNext w:val="0"/>
        <w:spacing w:after="80" w:before="0"/>
      </w:pPr>
      <w:r>
        <w:rPr>
          <w:rFonts w:ascii="Calibri" w:hAnsi="Calibri"/>
          <w:b w:val="0"/>
          <w:i w:val="0"/>
          <w:color w:val="565656"/>
          <w:sz w:val="18"/>
        </w:rPr>
        <w:t>Attendo (formerly Petpooja Payroll) is payroll and attendance software used by more than 40,000 businesses across manufacturing, corporate offices, healthcare, retail and hospitality.</w:t>
      </w:r>
    </w:p>
    <w:p>
      <w:r>
        <w:br w:type="page"/>
      </w:r>
    </w:p>
    <w:p>
      <w:pPr>
        <w:pStyle w:val="Heading1"/>
        <w:keepNext/>
        <w:spacing w:after="200" w:before="80"/>
        <w:ind w:left="115"/>
        <w:shd w:val="clear" w:fill="008CDB"/>
      </w:pPr>
      <w:r>
        <w:rPr>
          <w:rFonts w:ascii="Calibri" w:hAnsi="Calibri"/>
          <w:b/>
          <w:color w:val="FFFFFF"/>
          <w:sz w:val="22"/>
        </w:rPr>
        <w:t>1  ·  WHETHER SECTION 4 REACHES YOU AT ALL</w:t>
      </w:r>
    </w:p>
    <w:p>
      <w:pPr>
        <w:keepNext w:val="0"/>
        <w:spacing w:after="200" w:before="0"/>
      </w:pPr>
      <w:r>
        <w:rPr>
          <w:rFonts w:ascii="Calibri" w:hAnsi="Calibri"/>
          <w:b w:val="0"/>
          <w:i w:val="0"/>
          <w:color w:val="1D1D1D"/>
          <w:sz w:val="21"/>
        </w:rPr>
        <w:t>Five layers. Get the third one wrong and the first one gives you the wrong answer. Get the fifth wrong and you follow the wrong rulebook.</w:t>
      </w:r>
    </w:p>
    <w:tbl>
      <w:tblPr>
        <w:tblStyle w:val="TableGrid"/>
        <w:tblW w:type="auto" w:w="0"/>
        <w:tblLook w:firstColumn="1" w:firstRow="1" w:lastColumn="0" w:lastRow="0" w:noHBand="0" w:noVBand="1" w:val="04A0"/>
      </w:tblPr>
      <w:tblGrid>
        <w:gridCol w:w="3216"/>
        <w:gridCol w:w="3216"/>
        <w:gridCol w:w="3216"/>
      </w:tblGrid>
      <w:tr>
        <w:tc>
          <w:tcPr>
            <w:tcW w:type="dxa" w:w="2160"/>
          </w:tcPr>
          <w:p>
            <w:pPr>
              <w:spacing w:after="40"/>
              <w:shd w:val="clear" w:fill="E8F4FC"/>
            </w:pPr>
            <w:r/>
            <w:r>
              <w:rPr>
                <w:rFonts w:ascii="Calibri" w:hAnsi="Calibri"/>
                <w:b/>
                <w:color w:val="0069A4"/>
                <w:sz w:val="18"/>
              </w:rPr>
              <w:t>Layer</w:t>
            </w:r>
          </w:p>
        </w:tc>
        <w:tc>
          <w:tcPr>
            <w:tcW w:type="dxa" w:w="5328"/>
          </w:tcPr>
          <w:p>
            <w:pPr>
              <w:spacing w:after="40"/>
              <w:shd w:val="clear" w:fill="E8F4FC"/>
            </w:pPr>
            <w:r/>
            <w:r>
              <w:rPr>
                <w:rFonts w:ascii="Calibri" w:hAnsi="Calibri"/>
                <w:b/>
                <w:color w:val="0069A4"/>
                <w:sz w:val="18"/>
              </w:rPr>
              <w:t>What it means</w:t>
            </w:r>
          </w:p>
        </w:tc>
        <w:tc>
          <w:tcPr>
            <w:tcW w:type="dxa" w:w="2448"/>
          </w:tcPr>
          <w:p>
            <w:pPr>
              <w:spacing w:after="40"/>
              <w:shd w:val="clear" w:fill="E8F4FC"/>
            </w:pPr>
            <w:r/>
            <w:r>
              <w:rPr>
                <w:rFonts w:ascii="Calibri" w:hAnsi="Calibri"/>
                <w:b/>
                <w:color w:val="0069A4"/>
                <w:sz w:val="18"/>
              </w:rPr>
              <w:t>Where it comes from</w:t>
            </w:r>
          </w:p>
        </w:tc>
      </w:tr>
      <w:tr>
        <w:tc>
          <w:tcPr>
            <w:tcW w:type="dxa" w:w="2160"/>
          </w:tcPr>
          <w:p>
            <w:pPr>
              <w:spacing w:after="40"/>
            </w:pPr>
            <w:r/>
            <w:r>
              <w:rPr>
                <w:rFonts w:ascii="Calibri" w:hAnsi="Calibri"/>
                <w:color w:val="565656"/>
                <w:sz w:val="18"/>
              </w:rPr>
              <w:t>Twenty or more workers</w:t>
            </w:r>
          </w:p>
        </w:tc>
        <w:tc>
          <w:tcPr>
            <w:tcW w:type="dxa" w:w="5328"/>
          </w:tcPr>
          <w:p>
            <w:pPr>
              <w:spacing w:after="40"/>
            </w:pPr>
            <w:r/>
            <w:r>
              <w:rPr>
                <w:rFonts w:ascii="Calibri" w:hAnsi="Calibri"/>
                <w:color w:val="565656"/>
                <w:sz w:val="18"/>
              </w:rPr>
              <w:t>Every industrial establishment employing twenty or more workers shall have one or more Grievance Redressal Committees. No government order is needed and there is no ceiling above which the duty stops.</w:t>
            </w:r>
          </w:p>
        </w:tc>
        <w:tc>
          <w:tcPr>
            <w:tcW w:type="dxa" w:w="2448"/>
          </w:tcPr>
          <w:p>
            <w:pPr>
              <w:spacing w:after="40"/>
            </w:pPr>
            <w:r/>
            <w:r>
              <w:rPr>
                <w:rFonts w:ascii="Calibri" w:hAnsi="Calibri"/>
                <w:color w:val="565656"/>
                <w:sz w:val="18"/>
              </w:rPr>
              <w:t>IR Code, s.4(1)</w:t>
            </w:r>
          </w:p>
        </w:tc>
      </w:tr>
      <w:tr>
        <w:tc>
          <w:tcPr>
            <w:tcW w:type="dxa" w:w="2160"/>
          </w:tcPr>
          <w:p>
            <w:pPr>
              <w:spacing w:after="40"/>
            </w:pPr>
            <w:r/>
            <w:r>
              <w:rPr>
                <w:rFonts w:ascii="Calibri" w:hAnsi="Calibri"/>
                <w:color w:val="565656"/>
                <w:sz w:val="18"/>
              </w:rPr>
              <w:t>Any establishment carrying on an industry</w:t>
            </w:r>
          </w:p>
        </w:tc>
        <w:tc>
          <w:tcPr>
            <w:tcW w:type="dxa" w:w="5328"/>
          </w:tcPr>
          <w:p>
            <w:pPr>
              <w:spacing w:after="40"/>
            </w:pPr>
            <w:r/>
            <w:r>
              <w:rPr>
                <w:rFonts w:ascii="Calibri" w:hAnsi="Calibri"/>
                <w:color w:val="565656"/>
                <w:sz w:val="18"/>
              </w:rPr>
              <w:t>Not only a factory. An office, an IT company, a hospital, a hotel and a retail chain are all industrial establishments for this Chapter. The factory, mine and plantation definition belongs to Chapter X and opens with the words For the purposes of this Chapter.</w:t>
            </w:r>
          </w:p>
        </w:tc>
        <w:tc>
          <w:tcPr>
            <w:tcW w:type="dxa" w:w="2448"/>
          </w:tcPr>
          <w:p>
            <w:pPr>
              <w:spacing w:after="40"/>
            </w:pPr>
            <w:r/>
            <w:r>
              <w:rPr>
                <w:rFonts w:ascii="Calibri" w:hAnsi="Calibri"/>
                <w:color w:val="565656"/>
                <w:sz w:val="18"/>
              </w:rPr>
              <w:t>IR Code, s.2(p), and s.77(3) for the narrow one</w:t>
            </w:r>
          </w:p>
        </w:tc>
      </w:tr>
      <w:tr>
        <w:tc>
          <w:tcPr>
            <w:tcW w:type="dxa" w:w="2160"/>
          </w:tcPr>
          <w:p>
            <w:pPr>
              <w:spacing w:after="40"/>
            </w:pPr>
            <w:r/>
            <w:r>
              <w:rPr>
                <w:rFonts w:ascii="Calibri" w:hAnsi="Calibri"/>
                <w:color w:val="565656"/>
                <w:sz w:val="18"/>
              </w:rPr>
              <w:t>Counted in workers, not employees</w:t>
            </w:r>
          </w:p>
        </w:tc>
        <w:tc>
          <w:tcPr>
            <w:tcW w:type="dxa" w:w="5328"/>
          </w:tcPr>
          <w:p>
            <w:pPr>
              <w:spacing w:after="40"/>
            </w:pPr>
            <w:r/>
            <w:r>
              <w:rPr>
                <w:rFonts w:ascii="Calibri" w:hAnsi="Calibri"/>
                <w:color w:val="565656"/>
                <w:sz w:val="18"/>
              </w:rPr>
              <w:t>Leave out apprentices engaged under the Apprentices Act, 1961, anyone employed mainly in a managerial or administrative capacity, and a supervisor drawing wages above ₹18,000 a month. Wages, not gross pay.</w:t>
            </w:r>
          </w:p>
        </w:tc>
        <w:tc>
          <w:tcPr>
            <w:tcW w:type="dxa" w:w="2448"/>
          </w:tcPr>
          <w:p>
            <w:pPr>
              <w:spacing w:after="40"/>
            </w:pPr>
            <w:r/>
            <w:r>
              <w:rPr>
                <w:rFonts w:ascii="Calibri" w:hAnsi="Calibri"/>
                <w:color w:val="565656"/>
                <w:sz w:val="18"/>
              </w:rPr>
              <w:t>IR Code, s.2(zr)</w:t>
            </w:r>
          </w:p>
        </w:tc>
      </w:tr>
      <w:tr>
        <w:tc>
          <w:tcPr>
            <w:tcW w:type="dxa" w:w="2160"/>
          </w:tcPr>
          <w:p>
            <w:pPr>
              <w:spacing w:after="40"/>
            </w:pPr>
            <w:r/>
            <w:r>
              <w:rPr>
                <w:rFonts w:ascii="Calibri" w:hAnsi="Calibri"/>
                <w:color w:val="565656"/>
                <w:sz w:val="18"/>
              </w:rPr>
              <w:t>Whose rules prescribe the manner</w:t>
            </w:r>
          </w:p>
        </w:tc>
        <w:tc>
          <w:tcPr>
            <w:tcW w:type="dxa" w:w="5328"/>
          </w:tcPr>
          <w:p>
            <w:pPr>
              <w:spacing w:after="40"/>
            </w:pPr>
            <w:r/>
            <w:r>
              <w:rPr>
                <w:rFonts w:ascii="Calibri" w:hAnsi="Calibri"/>
                <w:color w:val="565656"/>
                <w:sz w:val="18"/>
              </w:rPr>
              <w:t>Section 4 binds you wherever you are, because it is in the Code. But s.4(2), (5) and (8) defer to rules, and s.99 gives rule-making to the APPROPRIATE Government. That is the Centre only for railways, mines, oil fields, major ports, air transport, telecommunication, banking, insurance, central public sector undertakings and the like. For any other establishment it is the State, and the State's rules prescribe the manner instead of these.</w:t>
            </w:r>
          </w:p>
        </w:tc>
        <w:tc>
          <w:tcPr>
            <w:tcW w:type="dxa" w:w="2448"/>
          </w:tcPr>
          <w:p>
            <w:pPr>
              <w:spacing w:after="40"/>
            </w:pPr>
            <w:r/>
            <w:r>
              <w:rPr>
                <w:rFonts w:ascii="Calibri" w:hAnsi="Calibri"/>
                <w:color w:val="565656"/>
                <w:sz w:val="18"/>
              </w:rPr>
              <w:t>IR Code, s.2(b) with s.99(1)</w:t>
            </w:r>
          </w:p>
        </w:tc>
      </w:tr>
      <w:tr>
        <w:tc>
          <w:tcPr>
            <w:tcW w:type="dxa" w:w="2160"/>
          </w:tcPr>
          <w:p>
            <w:pPr>
              <w:spacing w:after="40"/>
            </w:pPr>
            <w:r/>
            <w:r>
              <w:rPr>
                <w:rFonts w:ascii="Calibri" w:hAnsi="Calibri"/>
                <w:color w:val="565656"/>
                <w:sz w:val="18"/>
              </w:rPr>
              <w:t>This is not the Works Committee</w:t>
            </w:r>
          </w:p>
        </w:tc>
        <w:tc>
          <w:tcPr>
            <w:tcW w:type="dxa" w:w="5328"/>
          </w:tcPr>
          <w:p>
            <w:pPr>
              <w:spacing w:after="40"/>
            </w:pPr>
            <w:r/>
            <w:r>
              <w:rPr>
                <w:rFonts w:ascii="Calibri" w:hAnsi="Calibri"/>
                <w:color w:val="565656"/>
                <w:sz w:val="18"/>
              </w:rPr>
              <w:t>The Works Committee is a separate body and a conditional one: one hundred or more workers, and the appropriate Government has to require it by general or special order. The Grievance Committee needs nobody to order it.</w:t>
            </w:r>
          </w:p>
        </w:tc>
        <w:tc>
          <w:tcPr>
            <w:tcW w:type="dxa" w:w="2448"/>
          </w:tcPr>
          <w:p>
            <w:pPr>
              <w:spacing w:after="40"/>
            </w:pPr>
            <w:r/>
            <w:r>
              <w:rPr>
                <w:rFonts w:ascii="Calibri" w:hAnsi="Calibri"/>
                <w:color w:val="565656"/>
                <w:sz w:val="18"/>
              </w:rPr>
              <w:t>IR Code, s.3(1) against s.4(1)</w:t>
            </w:r>
          </w:p>
        </w:tc>
      </w:tr>
    </w:tbl>
    <w:p>
      <w:pPr>
        <w:keepNext w:val="0"/>
        <w:spacing w:after="160" w:before="0"/>
      </w:pPr>
      <w:r>
        <w:rPr>
          <w:rFonts w:ascii="Calibri" w:hAnsi="Calibri"/>
          <w:b w:val="0"/>
          <w:i w:val="0"/>
          <w:color w:val="1D1D1D"/>
          <w:sz w:val="21"/>
        </w:rPr>
      </w:r>
    </w:p>
    <w:p>
      <w:pPr>
        <w:keepNext w:val="0"/>
        <w:spacing w:after="160" w:before="0"/>
      </w:pPr>
      <w:r>
        <w:rPr>
          <w:rFonts w:ascii="Calibri" w:hAnsi="Calibri"/>
          <w:b w:val="0"/>
          <w:i w:val="0"/>
          <w:color w:val="1D1D1D"/>
          <w:sz w:val="20"/>
        </w:rPr>
        <w:t>The counting rule matters more than it looks. Section 2(zr) defines a worker by what the person does and, for supervisors, by what they are paid. An establishment of twenty-four people can be under twenty workers once managers and senior supervisors come out, and an establishment of nineteen can be over it once trainees who are not apprentices under a contract of apprenticeship go in.</w:t>
      </w:r>
    </w:p>
    <w:p>
      <w:pPr>
        <w:keepNext w:val="0"/>
        <w:spacing w:after="160" w:before="0"/>
      </w:pPr>
      <w:r>
        <w:rPr>
          <w:rFonts w:ascii="Calibri" w:hAnsi="Calibri"/>
          <w:b w:val="0"/>
          <w:i w:val="0"/>
          <w:color w:val="1D1D1D"/>
          <w:sz w:val="20"/>
        </w:rPr>
        <w:t>Wages, not gross pay. The ₹18,000 in section 2(zr) is a wages figure, and wages is a defined term that leaves out house rent allowance, conveyance, overtime and bonus. Testing a supervisor against gross salary will put them outside the count when they belong inside it.</w:t>
      </w:r>
    </w:p>
    <w:p>
      <w:pPr>
        <w:keepNext w:val="0"/>
        <w:spacing w:after="80" w:before="120"/>
      </w:pPr>
      <w:r>
        <w:rPr>
          <w:rFonts w:ascii="Calibri" w:hAnsi="Calibri"/>
          <w:b/>
          <w:i w:val="0"/>
          <w:color w:val="1D1D1D"/>
          <w:sz w:val="22"/>
        </w:rPr>
        <w:t>Which rulebook is yours</w:t>
      </w:r>
    </w:p>
    <w:p>
      <w:pPr>
        <w:keepNext w:val="0"/>
        <w:spacing w:after="160" w:before="0"/>
      </w:pPr>
      <w:r>
        <w:rPr>
          <w:rFonts w:ascii="Calibri" w:hAnsi="Calibri"/>
          <w:b w:val="0"/>
          <w:i w:val="0"/>
          <w:color w:val="1D1D1D"/>
          <w:sz w:val="20"/>
        </w:rPr>
        <w:t>This pack is built on the Industrial Relations (Central) Rules, 2026. Section 99(1) gives the power to make rules under the Code to the APPROPRIATE Government, and section 2(b) decides who that is. The Central Government is the appropriate Government for an establishment carried on by or under its own authority, for a controlled industry it has specified, and for railways including metro railways, mines, oil fields, major ports, air transport service, telecommunication, banking and insurance, corporations set up by a Central Act, central public sector undertakings and their subsidiaries, autonomous bodies it controls, contractors working for any of those, and any company in which it holds at least fifty-one per cent of the paid-up share capital.</w:t>
      </w:r>
    </w:p>
    <w:p>
      <w:pPr>
        <w:keepNext w:val="0"/>
        <w:spacing w:after="160" w:before="0"/>
        <w:ind w:left="173"/>
        <w:shd w:val="clear" w:fill="FFF6E5"/>
      </w:pPr>
      <w:r>
        <w:rPr>
          <w:rFonts w:ascii="Calibri" w:hAnsi="Calibri"/>
          <w:b w:val="0"/>
          <w:i w:val="0"/>
          <w:color w:val="1D1D1D"/>
          <w:sz w:val="20"/>
        </w:rPr>
        <w:t>For every other industrial establishment, section 2(b)(ii) makes the STATE Government the appropriate Government. A private factory, an IT company, a hospital, a hotel, a retail chain: the manner prescribed for you comes from your State's rules under section 99, not from rules 6 to 8 of these. Section 4 of the Code still binds you either way, because section 4 is in the Code and not in the rules. What changes is the rulebook for HOW, not WHETHER.</w:t>
      </w:r>
    </w:p>
    <w:p>
      <w:pPr>
        <w:keepNext w:val="0"/>
        <w:spacing w:after="160" w:before="0"/>
      </w:pPr>
      <w:r>
        <w:rPr>
          <w:rFonts w:ascii="Calibri" w:hAnsi="Calibri"/>
          <w:b w:val="0"/>
          <w:i/>
          <w:color w:val="565656"/>
          <w:sz w:val="19"/>
        </w:rPr>
        <w:t>So read rules 6 to 8 here as the Central Government's answer, and check your own State's rules before treating any of it as binding on you. This pack does not say what any State has prescribed, or whether it has prescribed anything yet. Neither was read.</w:t>
      </w:r>
    </w:p>
    <w:p>
      <w:pPr>
        <w:keepNext w:val="0"/>
        <w:spacing w:after="120" w:before="160"/>
      </w:pPr>
      <w:r>
        <w:rPr>
          <w:rFonts w:ascii="Calibri" w:hAnsi="Calibri"/>
          <w:b/>
          <w:i w:val="0"/>
          <w:color w:val="1D1D1D"/>
          <w:sz w:val="22"/>
        </w:rPr>
        <w:t>Words you will meet</w:t>
      </w:r>
    </w:p>
    <w:p>
      <w:pPr>
        <w:keepNext w:val="0"/>
        <w:spacing w:after="160" w:before="0"/>
      </w:pPr>
      <w:r>
        <w:rPr>
          <w:rFonts w:ascii="Calibri" w:hAnsi="Calibri"/>
          <w:b w:val="0"/>
          <w:i w:val="0"/>
          <w:color w:val="565656"/>
          <w:sz w:val="20"/>
        </w:rPr>
        <w:t>The Code cannot be read without these, and two of them decide which route you take in section 3.</w:t>
      </w:r>
    </w:p>
    <w:tbl>
      <w:tblPr>
        <w:tblStyle w:val="TableGrid"/>
        <w:tblW w:type="auto" w:w="0"/>
        <w:tblLook w:firstColumn="1" w:firstRow="1" w:lastColumn="0" w:lastRow="0" w:noHBand="0" w:noVBand="1" w:val="04A0"/>
      </w:tblPr>
      <w:tblGrid>
        <w:gridCol w:w="3216"/>
        <w:gridCol w:w="3216"/>
        <w:gridCol w:w="3216"/>
      </w:tblGrid>
      <w:tr>
        <w:tc>
          <w:tcPr>
            <w:tcW w:type="dxa" w:w="2304"/>
          </w:tcPr>
          <w:p>
            <w:pPr>
              <w:spacing w:after="40"/>
              <w:shd w:val="clear" w:fill="E8F4FC"/>
            </w:pPr>
            <w:r/>
            <w:r>
              <w:rPr>
                <w:rFonts w:ascii="Calibri" w:hAnsi="Calibri"/>
                <w:b/>
                <w:color w:val="0069A4"/>
                <w:sz w:val="18"/>
              </w:rPr>
              <w:t>Term</w:t>
            </w:r>
          </w:p>
        </w:tc>
        <w:tc>
          <w:tcPr>
            <w:tcW w:type="dxa" w:w="5328"/>
          </w:tcPr>
          <w:p>
            <w:pPr>
              <w:spacing w:after="40"/>
              <w:shd w:val="clear" w:fill="E8F4FC"/>
            </w:pPr>
            <w:r/>
            <w:r>
              <w:rPr>
                <w:rFonts w:ascii="Calibri" w:hAnsi="Calibri"/>
                <w:b/>
                <w:color w:val="0069A4"/>
                <w:sz w:val="18"/>
              </w:rPr>
              <w:t>What it means</w:t>
            </w:r>
          </w:p>
        </w:tc>
        <w:tc>
          <w:tcPr>
            <w:tcW w:type="dxa" w:w="1728"/>
          </w:tcPr>
          <w:p>
            <w:pPr>
              <w:spacing w:after="40"/>
              <w:shd w:val="clear" w:fill="E8F4FC"/>
            </w:pPr>
            <w:r/>
            <w:r>
              <w:rPr>
                <w:rFonts w:ascii="Calibri" w:hAnsi="Calibri"/>
                <w:b/>
                <w:color w:val="0069A4"/>
                <w:sz w:val="18"/>
              </w:rPr>
              <w:t>Where</w:t>
            </w:r>
          </w:p>
        </w:tc>
      </w:tr>
      <w:tr>
        <w:tc>
          <w:tcPr>
            <w:tcW w:type="dxa" w:w="2304"/>
          </w:tcPr>
          <w:p>
            <w:pPr>
              <w:spacing w:after="40"/>
            </w:pPr>
            <w:r/>
            <w:r>
              <w:rPr>
                <w:rFonts w:ascii="Calibri" w:hAnsi="Calibri"/>
                <w:color w:val="565656"/>
                <w:sz w:val="18"/>
              </w:rPr>
              <w:t>Appropriate Government</w:t>
            </w:r>
          </w:p>
        </w:tc>
        <w:tc>
          <w:tcPr>
            <w:tcW w:type="dxa" w:w="5328"/>
          </w:tcPr>
          <w:p>
            <w:pPr>
              <w:spacing w:after="40"/>
            </w:pPr>
            <w:r/>
            <w:r>
              <w:rPr>
                <w:rFonts w:ascii="Calibri" w:hAnsi="Calibri"/>
                <w:color w:val="565656"/>
                <w:sz w:val="18"/>
              </w:rPr>
              <w:t>The government whose rules apply to you. The Centre for railways, mines, oil fields, major ports, air transport, telecommunication, banking, insurance and central public sector undertakings. The State for everybody else.</w:t>
            </w:r>
          </w:p>
        </w:tc>
        <w:tc>
          <w:tcPr>
            <w:tcW w:type="dxa" w:w="1728"/>
          </w:tcPr>
          <w:p>
            <w:pPr>
              <w:spacing w:after="40"/>
            </w:pPr>
            <w:r/>
            <w:r>
              <w:rPr>
                <w:rFonts w:ascii="Calibri" w:hAnsi="Calibri"/>
                <w:color w:val="565656"/>
                <w:sz w:val="18"/>
              </w:rPr>
              <w:t>s.2(b)</w:t>
            </w:r>
          </w:p>
        </w:tc>
      </w:tr>
      <w:tr>
        <w:tc>
          <w:tcPr>
            <w:tcW w:type="dxa" w:w="2304"/>
          </w:tcPr>
          <w:p>
            <w:pPr>
              <w:spacing w:after="40"/>
            </w:pPr>
            <w:r/>
            <w:r>
              <w:rPr>
                <w:rFonts w:ascii="Calibri" w:hAnsi="Calibri"/>
                <w:color w:val="565656"/>
                <w:sz w:val="18"/>
              </w:rPr>
              <w:t>Negotiating union</w:t>
            </w:r>
          </w:p>
        </w:tc>
        <w:tc>
          <w:tcPr>
            <w:tcW w:type="dxa" w:w="5328"/>
          </w:tcPr>
          <w:p>
            <w:pPr>
              <w:spacing w:after="40"/>
            </w:pPr>
            <w:r/>
            <w:r>
              <w:rPr>
                <w:rFonts w:ascii="Calibri" w:hAnsi="Calibri"/>
                <w:color w:val="565656"/>
                <w:sz w:val="18"/>
              </w:rPr>
              <w:t>Where one registered trade union is functioning in the establishment, the union the employer must recognise to negotiate with. The criteria are prescribed; the central rules set membership at thirty per cent of the workers.</w:t>
            </w:r>
          </w:p>
        </w:tc>
        <w:tc>
          <w:tcPr>
            <w:tcW w:type="dxa" w:w="1728"/>
          </w:tcPr>
          <w:p>
            <w:pPr>
              <w:spacing w:after="40"/>
            </w:pPr>
            <w:r/>
            <w:r>
              <w:rPr>
                <w:rFonts w:ascii="Calibri" w:hAnsi="Calibri"/>
                <w:color w:val="565656"/>
                <w:sz w:val="18"/>
              </w:rPr>
              <w:t>s.14(2) and (3)</w:t>
            </w:r>
          </w:p>
        </w:tc>
      </w:tr>
      <w:tr>
        <w:tc>
          <w:tcPr>
            <w:tcW w:type="dxa" w:w="2304"/>
          </w:tcPr>
          <w:p>
            <w:pPr>
              <w:spacing w:after="40"/>
            </w:pPr>
            <w:r/>
            <w:r>
              <w:rPr>
                <w:rFonts w:ascii="Calibri" w:hAnsi="Calibri"/>
                <w:color w:val="565656"/>
                <w:sz w:val="18"/>
              </w:rPr>
              <w:t>Negotiating council</w:t>
            </w:r>
          </w:p>
        </w:tc>
        <w:tc>
          <w:tcPr>
            <w:tcW w:type="dxa" w:w="5328"/>
          </w:tcPr>
          <w:p>
            <w:pPr>
              <w:spacing w:after="40"/>
            </w:pPr>
            <w:r/>
            <w:r>
              <w:rPr>
                <w:rFonts w:ascii="Calibri" w:hAnsi="Calibri"/>
                <w:color w:val="565656"/>
                <w:sz w:val="18"/>
              </w:rPr>
              <w:t>Where more than one registered union is functioning and none has fifty-one per cent support, the employer constitutes a council of them instead of recognising one.</w:t>
            </w:r>
          </w:p>
        </w:tc>
        <w:tc>
          <w:tcPr>
            <w:tcW w:type="dxa" w:w="1728"/>
          </w:tcPr>
          <w:p>
            <w:pPr>
              <w:spacing w:after="40"/>
            </w:pPr>
            <w:r/>
            <w:r>
              <w:rPr>
                <w:rFonts w:ascii="Calibri" w:hAnsi="Calibri"/>
                <w:color w:val="565656"/>
                <w:sz w:val="18"/>
              </w:rPr>
              <w:t>s.14(4)</w:t>
            </w:r>
          </w:p>
        </w:tc>
      </w:tr>
      <w:tr>
        <w:tc>
          <w:tcPr>
            <w:tcW w:type="dxa" w:w="2304"/>
          </w:tcPr>
          <w:p>
            <w:pPr>
              <w:spacing w:after="40"/>
            </w:pPr>
            <w:r/>
            <w:r>
              <w:rPr>
                <w:rFonts w:ascii="Calibri" w:hAnsi="Calibri"/>
                <w:color w:val="565656"/>
                <w:sz w:val="18"/>
              </w:rPr>
              <w:t>Conciliation officer</w:t>
            </w:r>
          </w:p>
        </w:tc>
        <w:tc>
          <w:tcPr>
            <w:tcW w:type="dxa" w:w="5328"/>
          </w:tcPr>
          <w:p>
            <w:pPr>
              <w:spacing w:after="40"/>
            </w:pPr>
            <w:r/>
            <w:r>
              <w:rPr>
                <w:rFonts w:ascii="Calibri" w:hAnsi="Calibri"/>
                <w:color w:val="565656"/>
                <w:sz w:val="18"/>
              </w:rPr>
              <w:t>An officer appointed by the appropriate Government whose duty is mediating in and promoting the settlement of industrial disputes. Step four of the clock goes to this person.</w:t>
            </w:r>
          </w:p>
        </w:tc>
        <w:tc>
          <w:tcPr>
            <w:tcW w:type="dxa" w:w="1728"/>
          </w:tcPr>
          <w:p>
            <w:pPr>
              <w:spacing w:after="40"/>
            </w:pPr>
            <w:r/>
            <w:r>
              <w:rPr>
                <w:rFonts w:ascii="Calibri" w:hAnsi="Calibri"/>
                <w:color w:val="565656"/>
                <w:sz w:val="18"/>
              </w:rPr>
              <w:t>s.43(1)</w:t>
            </w:r>
          </w:p>
        </w:tc>
      </w:tr>
      <w:tr>
        <w:tc>
          <w:tcPr>
            <w:tcW w:type="dxa" w:w="2304"/>
          </w:tcPr>
          <w:p>
            <w:pPr>
              <w:spacing w:after="40"/>
            </w:pPr>
            <w:r/>
            <w:r>
              <w:rPr>
                <w:rFonts w:ascii="Calibri" w:hAnsi="Calibri"/>
                <w:color w:val="565656"/>
                <w:sz w:val="18"/>
              </w:rPr>
              <w:t>Tribunal</w:t>
            </w:r>
          </w:p>
        </w:tc>
        <w:tc>
          <w:tcPr>
            <w:tcW w:type="dxa" w:w="5328"/>
          </w:tcPr>
          <w:p>
            <w:pPr>
              <w:spacing w:after="40"/>
            </w:pPr>
            <w:r/>
            <w:r>
              <w:rPr>
                <w:rFonts w:ascii="Calibri" w:hAnsi="Calibri"/>
                <w:color w:val="565656"/>
                <w:sz w:val="18"/>
              </w:rPr>
              <w:t>An Industrial Tribunal constituted by the appropriate Government to adjudicate industrial disputes. Step five of the clock.</w:t>
            </w:r>
          </w:p>
        </w:tc>
        <w:tc>
          <w:tcPr>
            <w:tcW w:type="dxa" w:w="1728"/>
          </w:tcPr>
          <w:p>
            <w:pPr>
              <w:spacing w:after="40"/>
            </w:pPr>
            <w:r/>
            <w:r>
              <w:rPr>
                <w:rFonts w:ascii="Calibri" w:hAnsi="Calibri"/>
                <w:color w:val="565656"/>
                <w:sz w:val="18"/>
              </w:rPr>
              <w:t>s.44(1)</w:t>
            </w:r>
          </w:p>
        </w:tc>
      </w:tr>
      <w:tr>
        <w:tc>
          <w:tcPr>
            <w:tcW w:type="dxa" w:w="2304"/>
          </w:tcPr>
          <w:p>
            <w:pPr>
              <w:spacing w:after="40"/>
            </w:pPr>
            <w:r/>
            <w:r>
              <w:rPr>
                <w:rFonts w:ascii="Calibri" w:hAnsi="Calibri"/>
                <w:color w:val="565656"/>
                <w:sz w:val="18"/>
              </w:rPr>
              <w:t>Regional Labour Commissioner (Central)</w:t>
            </w:r>
          </w:p>
        </w:tc>
        <w:tc>
          <w:tcPr>
            <w:tcW w:type="dxa" w:w="5328"/>
          </w:tcPr>
          <w:p>
            <w:pPr>
              <w:spacing w:after="40"/>
            </w:pPr>
            <w:r/>
            <w:r>
              <w:rPr>
                <w:rFonts w:ascii="Calibri" w:hAnsi="Calibri"/>
                <w:color w:val="565656"/>
                <w:sz w:val="18"/>
              </w:rPr>
              <w:t>The central government labour officer who decides a dispute about choosing the worker members where there is no union. That decision is final.</w:t>
            </w:r>
          </w:p>
        </w:tc>
        <w:tc>
          <w:tcPr>
            <w:tcW w:type="dxa" w:w="1728"/>
          </w:tcPr>
          <w:p>
            <w:pPr>
              <w:spacing w:after="40"/>
            </w:pPr>
            <w:r/>
            <w:r>
              <w:rPr>
                <w:rFonts w:ascii="Calibri" w:hAnsi="Calibri"/>
                <w:color w:val="565656"/>
                <w:sz w:val="18"/>
              </w:rPr>
              <w:t>rule 6(5)</w:t>
            </w:r>
          </w:p>
        </w:tc>
      </w:tr>
      <w:tr>
        <w:tc>
          <w:tcPr>
            <w:tcW w:type="dxa" w:w="2304"/>
          </w:tcPr>
          <w:p>
            <w:pPr>
              <w:spacing w:after="40"/>
            </w:pPr>
            <w:r/>
            <w:r>
              <w:rPr>
                <w:rFonts w:ascii="Calibri" w:hAnsi="Calibri"/>
                <w:color w:val="565656"/>
                <w:sz w:val="18"/>
              </w:rPr>
              <w:t>Third Schedule</w:t>
            </w:r>
          </w:p>
        </w:tc>
        <w:tc>
          <w:tcPr>
            <w:tcW w:type="dxa" w:w="5328"/>
          </w:tcPr>
          <w:p>
            <w:pPr>
              <w:spacing w:after="40"/>
            </w:pPr>
            <w:r/>
            <w:r>
              <w:rPr>
                <w:rFonts w:ascii="Calibri" w:hAnsi="Calibri"/>
                <w:color w:val="565656"/>
                <w:sz w:val="18"/>
              </w:rPr>
              <w:t>The list of conditions of service, such as wages and hours, that an employer cannot change without notice and twenty-one days.</w:t>
            </w:r>
          </w:p>
        </w:tc>
        <w:tc>
          <w:tcPr>
            <w:tcW w:type="dxa" w:w="1728"/>
          </w:tcPr>
          <w:p>
            <w:pPr>
              <w:spacing w:after="40"/>
            </w:pPr>
            <w:r/>
            <w:r>
              <w:rPr>
                <w:rFonts w:ascii="Calibri" w:hAnsi="Calibri"/>
                <w:color w:val="565656"/>
                <w:sz w:val="18"/>
              </w:rPr>
              <w:t>s.40</w:t>
            </w:r>
          </w:p>
        </w:tc>
      </w:tr>
    </w:tbl>
    <w:p>
      <w:pPr>
        <w:keepNext w:val="0"/>
        <w:spacing w:after="160" w:before="0"/>
      </w:pPr>
      <w:r>
        <w:rPr>
          <w:rFonts w:ascii="Calibri" w:hAnsi="Calibri"/>
          <w:b w:val="0"/>
          <w:i w:val="0"/>
          <w:color w:val="1D1D1D"/>
          <w:sz w:val="21"/>
        </w:rPr>
      </w:r>
    </w:p>
    <w:p>
      <w:pPr>
        <w:spacing w:after="120"/>
        <w:ind w:left="288"/>
      </w:pPr>
      <w:r>
        <w:rPr>
          <w:rFonts w:ascii="Calibri" w:hAnsi="Calibri"/>
          <w:b/>
          <w:color w:val="0069A4"/>
          <w:sz w:val="17"/>
        </w:rPr>
        <w:t xml:space="preserve">Rests on  </w:t>
      </w:r>
      <w:r>
        <w:rPr>
          <w:rFonts w:ascii="Calibri" w:hAnsi="Calibri"/>
          <w:i/>
          <w:color w:val="565656"/>
          <w:sz w:val="17"/>
        </w:rPr>
        <w:t>IR Code, 2020, s.4(1), s.3(1), s.2(p), s.2(zr), s.77(3), s.2(b), s.14, s.40, s.43(1), s.44(1) and s.99(1)</w:t>
      </w:r>
    </w:p>
    <w:p>
      <w:r>
        <w:br w:type="page"/>
      </w:r>
    </w:p>
    <w:p>
      <w:pPr>
        <w:pStyle w:val="Heading1"/>
        <w:keepNext/>
        <w:spacing w:after="200" w:before="80"/>
        <w:ind w:left="115"/>
        <w:shd w:val="clear" w:fill="008CDB"/>
      </w:pPr>
      <w:r>
        <w:rPr>
          <w:rFonts w:ascii="Calibri" w:hAnsi="Calibri"/>
          <w:b/>
          <w:color w:val="FFFFFF"/>
          <w:sz w:val="22"/>
        </w:rPr>
        <w:t>2  ·  THE GRIEVANCE CLOCK, IN FIVE STEPS</w:t>
      </w:r>
    </w:p>
    <w:p>
      <w:pPr>
        <w:keepNext w:val="0"/>
        <w:spacing w:after="200" w:before="0"/>
      </w:pPr>
      <w:r>
        <w:rPr>
          <w:rFonts w:ascii="Calibri" w:hAnsi="Calibri"/>
          <w:b w:val="0"/>
          <w:i w:val="0"/>
          <w:color w:val="1D1D1D"/>
          <w:sz w:val="21"/>
        </w:rPr>
        <w:t>One year in, thirty days to decide, sixty days out, forty-five days more to the Tribunal, and a two year longstop over the whole thing. Most employers know none of these dates, and the worker's rights run whether or not anybody has diarised them.</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576"/>
          </w:tcPr>
          <w:p>
            <w:pPr>
              <w:spacing w:after="40"/>
              <w:shd w:val="clear" w:fill="E8F4FC"/>
            </w:pPr>
            <w:r/>
            <w:r>
              <w:rPr>
                <w:rFonts w:ascii="Calibri" w:hAnsi="Calibri"/>
                <w:b/>
                <w:color w:val="0069A4"/>
                <w:sz w:val="18"/>
              </w:rPr>
              <w:t>Step</w:t>
            </w:r>
          </w:p>
        </w:tc>
        <w:tc>
          <w:tcPr>
            <w:tcW w:type="dxa" w:w="2160"/>
          </w:tcPr>
          <w:p>
            <w:pPr>
              <w:spacing w:after="40"/>
              <w:shd w:val="clear" w:fill="E8F4FC"/>
            </w:pPr>
            <w:r/>
            <w:r>
              <w:rPr>
                <w:rFonts w:ascii="Calibri" w:hAnsi="Calibri"/>
                <w:b/>
                <w:color w:val="0069A4"/>
                <w:sz w:val="18"/>
              </w:rPr>
              <w:t>What happens</w:t>
            </w:r>
          </w:p>
        </w:tc>
        <w:tc>
          <w:tcPr>
            <w:tcW w:type="dxa" w:w="1296"/>
          </w:tcPr>
          <w:p>
            <w:pPr>
              <w:spacing w:after="40"/>
              <w:shd w:val="clear" w:fill="E8F4FC"/>
            </w:pPr>
            <w:r/>
            <w:r>
              <w:rPr>
                <w:rFonts w:ascii="Calibri" w:hAnsi="Calibri"/>
                <w:b/>
                <w:color w:val="0069A4"/>
                <w:sz w:val="18"/>
              </w:rPr>
              <w:t>How long</w:t>
            </w:r>
          </w:p>
        </w:tc>
        <w:tc>
          <w:tcPr>
            <w:tcW w:type="dxa" w:w="3744"/>
          </w:tcPr>
          <w:p>
            <w:pPr>
              <w:spacing w:after="40"/>
              <w:shd w:val="clear" w:fill="E8F4FC"/>
            </w:pPr>
            <w:r/>
            <w:r>
              <w:rPr>
                <w:rFonts w:ascii="Calibri" w:hAnsi="Calibri"/>
                <w:b/>
                <w:color w:val="0069A4"/>
                <w:sz w:val="18"/>
              </w:rPr>
              <w:t>The detail</w:t>
            </w:r>
          </w:p>
        </w:tc>
        <w:tc>
          <w:tcPr>
            <w:tcW w:type="dxa" w:w="1728"/>
          </w:tcPr>
          <w:p>
            <w:pPr>
              <w:spacing w:after="40"/>
              <w:shd w:val="clear" w:fill="E8F4FC"/>
            </w:pPr>
            <w:r/>
            <w:r>
              <w:rPr>
                <w:rFonts w:ascii="Calibri" w:hAnsi="Calibri"/>
                <w:b/>
                <w:color w:val="0069A4"/>
                <w:sz w:val="18"/>
              </w:rPr>
              <w:t>Provision</w:t>
            </w:r>
          </w:p>
        </w:tc>
      </w:tr>
      <w:tr>
        <w:tc>
          <w:tcPr>
            <w:tcW w:type="dxa" w:w="576"/>
          </w:tcPr>
          <w:p>
            <w:pPr>
              <w:spacing w:after="40"/>
            </w:pPr>
            <w:r/>
            <w:r>
              <w:rPr>
                <w:rFonts w:ascii="Calibri" w:hAnsi="Calibri"/>
                <w:color w:val="565656"/>
                <w:sz w:val="18"/>
              </w:rPr>
              <w:t>1</w:t>
            </w:r>
          </w:p>
        </w:tc>
        <w:tc>
          <w:tcPr>
            <w:tcW w:type="dxa" w:w="2160"/>
          </w:tcPr>
          <w:p>
            <w:pPr>
              <w:spacing w:after="40"/>
            </w:pPr>
            <w:r/>
            <w:r>
              <w:rPr>
                <w:rFonts w:ascii="Calibri" w:hAnsi="Calibri"/>
                <w:color w:val="565656"/>
                <w:sz w:val="18"/>
              </w:rPr>
              <w:t>Worker applies to the Grievance Committee</w:t>
            </w:r>
          </w:p>
        </w:tc>
        <w:tc>
          <w:tcPr>
            <w:tcW w:type="dxa" w:w="1296"/>
          </w:tcPr>
          <w:p>
            <w:pPr>
              <w:spacing w:after="40"/>
            </w:pPr>
            <w:r/>
            <w:r>
              <w:rPr>
                <w:rFonts w:ascii="Calibri" w:hAnsi="Calibri"/>
                <w:color w:val="565656"/>
                <w:sz w:val="18"/>
              </w:rPr>
              <w:t>Within one year</w:t>
            </w:r>
          </w:p>
        </w:tc>
        <w:tc>
          <w:tcPr>
            <w:tcW w:type="dxa" w:w="3744"/>
          </w:tcPr>
          <w:p>
            <w:pPr>
              <w:spacing w:after="40"/>
            </w:pPr>
            <w:r/>
            <w:r>
              <w:rPr>
                <w:rFonts w:ascii="Calibri" w:hAnsi="Calibri"/>
                <w:color w:val="565656"/>
                <w:sz w:val="18"/>
              </w:rPr>
              <w:t>From the date on which the cause of action arose.</w:t>
            </w:r>
          </w:p>
        </w:tc>
        <w:tc>
          <w:tcPr>
            <w:tcW w:type="dxa" w:w="1728"/>
          </w:tcPr>
          <w:p>
            <w:pPr>
              <w:spacing w:after="40"/>
            </w:pPr>
            <w:r/>
            <w:r>
              <w:rPr>
                <w:rFonts w:ascii="Calibri" w:hAnsi="Calibri"/>
                <w:color w:val="565656"/>
                <w:sz w:val="18"/>
              </w:rPr>
              <w:t>s.4(5) with rule 7(3)</w:t>
            </w:r>
          </w:p>
        </w:tc>
      </w:tr>
      <w:tr>
        <w:tc>
          <w:tcPr>
            <w:tcW w:type="dxa" w:w="576"/>
          </w:tcPr>
          <w:p>
            <w:pPr>
              <w:spacing w:after="40"/>
            </w:pPr>
            <w:r/>
            <w:r>
              <w:rPr>
                <w:rFonts w:ascii="Calibri" w:hAnsi="Calibri"/>
                <w:color w:val="565656"/>
                <w:sz w:val="18"/>
              </w:rPr>
              <w:t>2</w:t>
            </w:r>
          </w:p>
        </w:tc>
        <w:tc>
          <w:tcPr>
            <w:tcW w:type="dxa" w:w="2160"/>
          </w:tcPr>
          <w:p>
            <w:pPr>
              <w:spacing w:after="40"/>
            </w:pPr>
            <w:r/>
            <w:r>
              <w:rPr>
                <w:rFonts w:ascii="Calibri" w:hAnsi="Calibri"/>
                <w:color w:val="565656"/>
                <w:sz w:val="18"/>
              </w:rPr>
              <w:t>Committee completes its proceedings</w:t>
            </w:r>
          </w:p>
        </w:tc>
        <w:tc>
          <w:tcPr>
            <w:tcW w:type="dxa" w:w="1296"/>
          </w:tcPr>
          <w:p>
            <w:pPr>
              <w:spacing w:after="40"/>
            </w:pPr>
            <w:r/>
            <w:r>
              <w:rPr>
                <w:rFonts w:ascii="Calibri" w:hAnsi="Calibri"/>
                <w:color w:val="565656"/>
                <w:sz w:val="18"/>
              </w:rPr>
              <w:t>Thirty days</w:t>
            </w:r>
          </w:p>
        </w:tc>
        <w:tc>
          <w:tcPr>
            <w:tcW w:type="dxa" w:w="3744"/>
          </w:tcPr>
          <w:p>
            <w:pPr>
              <w:spacing w:after="40"/>
            </w:pPr>
            <w:r/>
            <w:r>
              <w:rPr>
                <w:rFonts w:ascii="Calibri" w:hAnsi="Calibri"/>
                <w:color w:val="565656"/>
                <w:sz w:val="18"/>
              </w:rPr>
              <w:t>The Code says may, not shall. What the thirty days really does is start step 3 running.</w:t>
            </w:r>
          </w:p>
        </w:tc>
        <w:tc>
          <w:tcPr>
            <w:tcW w:type="dxa" w:w="1728"/>
          </w:tcPr>
          <w:p>
            <w:pPr>
              <w:spacing w:after="40"/>
            </w:pPr>
            <w:r/>
            <w:r>
              <w:rPr>
                <w:rFonts w:ascii="Calibri" w:hAnsi="Calibri"/>
                <w:color w:val="565656"/>
                <w:sz w:val="18"/>
              </w:rPr>
              <w:t>s.4(6)</w:t>
            </w:r>
          </w:p>
        </w:tc>
      </w:tr>
      <w:tr>
        <w:tc>
          <w:tcPr>
            <w:tcW w:type="dxa" w:w="576"/>
          </w:tcPr>
          <w:p>
            <w:pPr>
              <w:spacing w:after="40"/>
            </w:pPr>
            <w:r/>
            <w:r>
              <w:rPr>
                <w:rFonts w:ascii="Calibri" w:hAnsi="Calibri"/>
                <w:color w:val="565656"/>
                <w:sz w:val="18"/>
              </w:rPr>
              <w:t>3</w:t>
            </w:r>
          </w:p>
        </w:tc>
        <w:tc>
          <w:tcPr>
            <w:tcW w:type="dxa" w:w="2160"/>
          </w:tcPr>
          <w:p>
            <w:pPr>
              <w:spacing w:after="40"/>
            </w:pPr>
            <w:r/>
            <w:r>
              <w:rPr>
                <w:rFonts w:ascii="Calibri" w:hAnsi="Calibri"/>
                <w:color w:val="565656"/>
                <w:sz w:val="18"/>
              </w:rPr>
              <w:t>Committee decides</w:t>
            </w:r>
          </w:p>
        </w:tc>
        <w:tc>
          <w:tcPr>
            <w:tcW w:type="dxa" w:w="1296"/>
          </w:tcPr>
          <w:p>
            <w:pPr>
              <w:spacing w:after="40"/>
            </w:pPr>
            <w:r/>
            <w:r>
              <w:rPr>
                <w:rFonts w:ascii="Calibri" w:hAnsi="Calibri"/>
                <w:color w:val="565656"/>
                <w:sz w:val="18"/>
              </w:rPr>
              <w:t>By majority</w:t>
            </w:r>
          </w:p>
        </w:tc>
        <w:tc>
          <w:tcPr>
            <w:tcW w:type="dxa" w:w="3744"/>
          </w:tcPr>
          <w:p>
            <w:pPr>
              <w:spacing w:after="40"/>
            </w:pPr>
            <w:r/>
            <w:r>
              <w:rPr>
                <w:rFonts w:ascii="Calibri" w:hAnsi="Calibri"/>
                <w:color w:val="565656"/>
                <w:sz w:val="18"/>
              </w:rPr>
              <w:t>A decision counts only if more than half the members representing the workers agreed to it. Otherwise there is deemed to be no decision.</w:t>
            </w:r>
          </w:p>
        </w:tc>
        <w:tc>
          <w:tcPr>
            <w:tcW w:type="dxa" w:w="1728"/>
          </w:tcPr>
          <w:p>
            <w:pPr>
              <w:spacing w:after="40"/>
            </w:pPr>
            <w:r/>
            <w:r>
              <w:rPr>
                <w:rFonts w:ascii="Calibri" w:hAnsi="Calibri"/>
                <w:color w:val="565656"/>
                <w:sz w:val="18"/>
              </w:rPr>
              <w:t>s.4(7)</w:t>
            </w:r>
          </w:p>
        </w:tc>
      </w:tr>
      <w:tr>
        <w:tc>
          <w:tcPr>
            <w:tcW w:type="dxa" w:w="576"/>
          </w:tcPr>
          <w:p>
            <w:pPr>
              <w:spacing w:after="40"/>
            </w:pPr>
            <w:r/>
            <w:r>
              <w:rPr>
                <w:rFonts w:ascii="Calibri" w:hAnsi="Calibri"/>
                <w:color w:val="565656"/>
                <w:sz w:val="18"/>
              </w:rPr>
              <w:t>4</w:t>
            </w:r>
          </w:p>
        </w:tc>
        <w:tc>
          <w:tcPr>
            <w:tcW w:type="dxa" w:w="2160"/>
          </w:tcPr>
          <w:p>
            <w:pPr>
              <w:spacing w:after="40"/>
            </w:pPr>
            <w:r/>
            <w:r>
              <w:rPr>
                <w:rFonts w:ascii="Calibri" w:hAnsi="Calibri"/>
                <w:color w:val="565656"/>
                <w:sz w:val="18"/>
              </w:rPr>
              <w:t>Worker goes to the conciliation officer</w:t>
            </w:r>
          </w:p>
        </w:tc>
        <w:tc>
          <w:tcPr>
            <w:tcW w:type="dxa" w:w="1296"/>
          </w:tcPr>
          <w:p>
            <w:pPr>
              <w:spacing w:after="40"/>
            </w:pPr>
            <w:r/>
            <w:r>
              <w:rPr>
                <w:rFonts w:ascii="Calibri" w:hAnsi="Calibri"/>
                <w:color w:val="565656"/>
                <w:sz w:val="18"/>
              </w:rPr>
              <w:t>Within sixty days</w:t>
            </w:r>
          </w:p>
        </w:tc>
        <w:tc>
          <w:tcPr>
            <w:tcW w:type="dxa" w:w="3744"/>
          </w:tcPr>
          <w:p>
            <w:pPr>
              <w:spacing w:after="40"/>
            </w:pPr>
            <w:r/>
            <w:r>
              <w:rPr>
                <w:rFonts w:ascii="Calibri" w:hAnsi="Calibri"/>
                <w:color w:val="565656"/>
                <w:sz w:val="18"/>
              </w:rPr>
              <w:t>From the date of the decision, or from the date the thirty days in s.4(6) expired. Online on the Ministry portal, by speed post, or in person.</w:t>
            </w:r>
          </w:p>
        </w:tc>
        <w:tc>
          <w:tcPr>
            <w:tcW w:type="dxa" w:w="1728"/>
          </w:tcPr>
          <w:p>
            <w:pPr>
              <w:spacing w:after="40"/>
            </w:pPr>
            <w:r/>
            <w:r>
              <w:rPr>
                <w:rFonts w:ascii="Calibri" w:hAnsi="Calibri"/>
                <w:color w:val="565656"/>
                <w:sz w:val="18"/>
              </w:rPr>
              <w:t>s.4(8) with rule 8</w:t>
            </w:r>
          </w:p>
        </w:tc>
      </w:tr>
      <w:tr>
        <w:tc>
          <w:tcPr>
            <w:tcW w:type="dxa" w:w="576"/>
          </w:tcPr>
          <w:p>
            <w:pPr>
              <w:spacing w:after="40"/>
            </w:pPr>
            <w:r/>
            <w:r>
              <w:rPr>
                <w:rFonts w:ascii="Calibri" w:hAnsi="Calibri"/>
                <w:color w:val="565656"/>
                <w:sz w:val="18"/>
              </w:rPr>
              <w:t>5</w:t>
            </w:r>
          </w:p>
        </w:tc>
        <w:tc>
          <w:tcPr>
            <w:tcW w:type="dxa" w:w="2160"/>
          </w:tcPr>
          <w:p>
            <w:pPr>
              <w:spacing w:after="40"/>
            </w:pPr>
            <w:r/>
            <w:r>
              <w:rPr>
                <w:rFonts w:ascii="Calibri" w:hAnsi="Calibri"/>
                <w:color w:val="565656"/>
                <w:sz w:val="18"/>
              </w:rPr>
              <w:t>Worker applies direct to the Tribunal</w:t>
            </w:r>
          </w:p>
        </w:tc>
        <w:tc>
          <w:tcPr>
            <w:tcW w:type="dxa" w:w="1296"/>
          </w:tcPr>
          <w:p>
            <w:pPr>
              <w:spacing w:after="40"/>
            </w:pPr>
            <w:r/>
            <w:r>
              <w:rPr>
                <w:rFonts w:ascii="Calibri" w:hAnsi="Calibri"/>
                <w:color w:val="565656"/>
                <w:sz w:val="18"/>
              </w:rPr>
              <w:t>After forty-five days</w:t>
            </w:r>
          </w:p>
        </w:tc>
        <w:tc>
          <w:tcPr>
            <w:tcW w:type="dxa" w:w="3744"/>
          </w:tcPr>
          <w:p>
            <w:pPr>
              <w:spacing w:after="40"/>
            </w:pPr>
            <w:r/>
            <w:r>
              <w:rPr>
                <w:rFonts w:ascii="Calibri" w:hAnsi="Calibri"/>
                <w:color w:val="565656"/>
                <w:sz w:val="18"/>
              </w:rPr>
              <w:t>Counted from the date the conciliation application was made. Section 4(10) is open to any worker under s.4(5), but s.4(11) fixes the outer limit only by reference to a termination date, so two years from the discharge, dismissal or retrenchment is the limit that can actually be computed.</w:t>
            </w:r>
          </w:p>
        </w:tc>
        <w:tc>
          <w:tcPr>
            <w:tcW w:type="dxa" w:w="1728"/>
          </w:tcPr>
          <w:p>
            <w:pPr>
              <w:spacing w:after="40"/>
            </w:pPr>
            <w:r/>
            <w:r>
              <w:rPr>
                <w:rFonts w:ascii="Calibri" w:hAnsi="Calibri"/>
                <w:color w:val="565656"/>
                <w:sz w:val="18"/>
              </w:rPr>
              <w:t>s.4(10) and s.4(11)</w:t>
            </w:r>
          </w:p>
        </w:tc>
      </w:tr>
    </w:tbl>
    <w:p>
      <w:pPr>
        <w:keepNext w:val="0"/>
        <w:spacing w:after="160" w:before="0"/>
      </w:pPr>
      <w:r>
        <w:rPr>
          <w:rFonts w:ascii="Calibri" w:hAnsi="Calibri"/>
          <w:b w:val="0"/>
          <w:i w:val="0"/>
          <w:color w:val="1D1D1D"/>
          <w:sz w:val="21"/>
        </w:rPr>
      </w:r>
    </w:p>
    <w:p>
      <w:pPr>
        <w:keepNext w:val="0"/>
        <w:spacing w:after="200" w:before="0"/>
        <w:ind w:left="173"/>
        <w:shd w:val="clear" w:fill="FFF6E5"/>
      </w:pPr>
      <w:r>
        <w:rPr>
          <w:rFonts w:ascii="Calibri" w:hAnsi="Calibri"/>
          <w:b w:val="0"/>
          <w:i w:val="0"/>
          <w:color w:val="1D1D1D"/>
          <w:sz w:val="20"/>
        </w:rPr>
        <w:t>One point the Code leaves unresolved, and you should know about it before a worker raises it. Section 4(8) routes the escalation to the conciliation officer through the trade union of which he is a member. Section 4(9) then deems a discharge, dismissal, retrenchment or termination dispute to be an industrial dispute even though no trade union is a party to it. In an establishment with no union those two sentences pull in opposite directions, and nothing in the rules settles it. Do not refuse an escalation on the ground that the worker has no union to route it through. That question is not yours to decide against your own worker.</w:t>
      </w:r>
    </w:p>
    <w:p>
      <w:pPr>
        <w:spacing w:after="120"/>
        <w:ind w:left="288"/>
      </w:pPr>
      <w:r>
        <w:rPr>
          <w:rFonts w:ascii="Calibri" w:hAnsi="Calibri"/>
          <w:b/>
          <w:color w:val="0069A4"/>
          <w:sz w:val="17"/>
        </w:rPr>
        <w:t xml:space="preserve">Rests on  </w:t>
      </w:r>
      <w:r>
        <w:rPr>
          <w:rFonts w:ascii="Calibri" w:hAnsi="Calibri"/>
          <w:i/>
          <w:color w:val="565656"/>
          <w:sz w:val="17"/>
        </w:rPr>
        <w:t>IR Code, 2020, s.4(5) to s.4(11); IR (Central) Rules, 2026, rules 7(3) and 8</w:t>
      </w:r>
    </w:p>
    <w:p>
      <w:r>
        <w:br w:type="page"/>
      </w:r>
    </w:p>
    <w:p>
      <w:pPr>
        <w:pStyle w:val="Heading1"/>
        <w:keepNext/>
        <w:spacing w:after="200" w:before="80"/>
        <w:ind w:left="115"/>
        <w:shd w:val="clear" w:fill="008CDB"/>
      </w:pPr>
      <w:r>
        <w:rPr>
          <w:rFonts w:ascii="Calibri" w:hAnsi="Calibri"/>
          <w:b/>
          <w:color w:val="FFFFFF"/>
          <w:sz w:val="22"/>
        </w:rPr>
        <w:t>3  ·  HOW TO CONSTITUTE THE COMMITTEE</w:t>
      </w:r>
    </w:p>
    <w:p>
      <w:pPr>
        <w:keepNext w:val="0"/>
        <w:spacing w:after="200" w:before="0"/>
      </w:pPr>
      <w:r>
        <w:rPr>
          <w:rFonts w:ascii="Calibri" w:hAnsi="Calibri"/>
          <w:b w:val="0"/>
          <w:i w:val="0"/>
          <w:color w:val="1D1D1D"/>
          <w:sz w:val="21"/>
        </w:rPr>
        <w:t>Section 4 says equal members chosen in such manner as may be prescribed, and stops. Rule 6 is the manner.</w:t>
      </w:r>
    </w:p>
    <w:tbl>
      <w:tblPr>
        <w:tblStyle w:val="TableGrid"/>
        <w:tblW w:type="auto" w:w="0"/>
        <w:tblLook w:firstColumn="1" w:firstRow="1" w:lastColumn="0" w:lastRow="0" w:noHBand="0" w:noVBand="1" w:val="04A0"/>
      </w:tblPr>
      <w:tblGrid>
        <w:gridCol w:w="3216"/>
        <w:gridCol w:w="3216"/>
        <w:gridCol w:w="3216"/>
      </w:tblGrid>
      <w:tr>
        <w:tc>
          <w:tcPr>
            <w:tcW w:type="dxa" w:w="2448"/>
          </w:tcPr>
          <w:p>
            <w:pPr>
              <w:spacing w:after="40"/>
              <w:shd w:val="clear" w:fill="E8F4FC"/>
            </w:pPr>
            <w:r/>
            <w:r>
              <w:rPr>
                <w:rFonts w:ascii="Calibri" w:hAnsi="Calibri"/>
                <w:b/>
                <w:color w:val="0069A4"/>
                <w:sz w:val="18"/>
              </w:rPr>
              <w:t>Question</w:t>
            </w:r>
          </w:p>
        </w:tc>
        <w:tc>
          <w:tcPr>
            <w:tcW w:type="dxa" w:w="5184"/>
          </w:tcPr>
          <w:p>
            <w:pPr>
              <w:spacing w:after="40"/>
              <w:shd w:val="clear" w:fill="E8F4FC"/>
            </w:pPr>
            <w:r/>
            <w:r>
              <w:rPr>
                <w:rFonts w:ascii="Calibri" w:hAnsi="Calibri"/>
                <w:b/>
                <w:color w:val="0069A4"/>
                <w:sz w:val="18"/>
              </w:rPr>
              <w:t>The answer</w:t>
            </w:r>
          </w:p>
        </w:tc>
        <w:tc>
          <w:tcPr>
            <w:tcW w:type="dxa" w:w="2304"/>
          </w:tcPr>
          <w:p>
            <w:pPr>
              <w:spacing w:after="40"/>
              <w:shd w:val="clear" w:fill="E8F4FC"/>
            </w:pPr>
            <w:r/>
            <w:r>
              <w:rPr>
                <w:rFonts w:ascii="Calibri" w:hAnsi="Calibri"/>
                <w:b/>
                <w:color w:val="0069A4"/>
                <w:sz w:val="18"/>
              </w:rPr>
              <w:t>Provision</w:t>
            </w:r>
          </w:p>
        </w:tc>
      </w:tr>
      <w:tr>
        <w:tc>
          <w:tcPr>
            <w:tcW w:type="dxa" w:w="2448"/>
          </w:tcPr>
          <w:p>
            <w:pPr>
              <w:spacing w:after="40"/>
            </w:pPr>
            <w:r/>
            <w:r>
              <w:rPr>
                <w:rFonts w:ascii="Calibri" w:hAnsi="Calibri"/>
                <w:color w:val="565656"/>
                <w:sz w:val="18"/>
              </w:rPr>
              <w:t>Size</w:t>
            </w:r>
          </w:p>
        </w:tc>
        <w:tc>
          <w:tcPr>
            <w:tcW w:type="dxa" w:w="5184"/>
          </w:tcPr>
          <w:p>
            <w:pPr>
              <w:spacing w:after="40"/>
            </w:pPr>
            <w:r/>
            <w:r>
              <w:rPr>
                <w:rFonts w:ascii="Calibri" w:hAnsi="Calibri"/>
                <w:color w:val="565656"/>
                <w:sz w:val="18"/>
              </w:rPr>
              <w:t>Equal numbers from the employer side and the worker side, and not more than ten members in all.</w:t>
            </w:r>
          </w:p>
        </w:tc>
        <w:tc>
          <w:tcPr>
            <w:tcW w:type="dxa" w:w="2304"/>
          </w:tcPr>
          <w:p>
            <w:pPr>
              <w:spacing w:after="40"/>
            </w:pPr>
            <w:r/>
            <w:r>
              <w:rPr>
                <w:rFonts w:ascii="Calibri" w:hAnsi="Calibri"/>
                <w:color w:val="565656"/>
                <w:sz w:val="18"/>
              </w:rPr>
              <w:t>s.4(4), rule 6(1)</w:t>
            </w:r>
          </w:p>
        </w:tc>
      </w:tr>
      <w:tr>
        <w:tc>
          <w:tcPr>
            <w:tcW w:type="dxa" w:w="2448"/>
          </w:tcPr>
          <w:p>
            <w:pPr>
              <w:spacing w:after="40"/>
            </w:pPr>
            <w:r/>
            <w:r>
              <w:rPr>
                <w:rFonts w:ascii="Calibri" w:hAnsi="Calibri"/>
                <w:color w:val="565656"/>
                <w:sz w:val="18"/>
              </w:rPr>
              <w:t>Employer members</w:t>
            </w:r>
          </w:p>
        </w:tc>
        <w:tc>
          <w:tcPr>
            <w:tcW w:type="dxa" w:w="5184"/>
          </w:tcPr>
          <w:p>
            <w:pPr>
              <w:spacing w:after="40"/>
            </w:pPr>
            <w:r/>
            <w:r>
              <w:rPr>
                <w:rFonts w:ascii="Calibri" w:hAnsi="Calibri"/>
                <w:color w:val="565656"/>
                <w:sz w:val="18"/>
              </w:rPr>
              <w:t>Nominated by the employer. As far as possible they should be officials in direct touch with the working of the establishment, preferably the heads of major departments.</w:t>
            </w:r>
          </w:p>
        </w:tc>
        <w:tc>
          <w:tcPr>
            <w:tcW w:type="dxa" w:w="2304"/>
          </w:tcPr>
          <w:p>
            <w:pPr>
              <w:spacing w:after="40"/>
            </w:pPr>
            <w:r/>
            <w:r>
              <w:rPr>
                <w:rFonts w:ascii="Calibri" w:hAnsi="Calibri"/>
                <w:color w:val="565656"/>
                <w:sz w:val="18"/>
              </w:rPr>
              <w:t>rule 6(2)</w:t>
            </w:r>
          </w:p>
        </w:tc>
      </w:tr>
      <w:tr>
        <w:tc>
          <w:tcPr>
            <w:tcW w:type="dxa" w:w="2448"/>
          </w:tcPr>
          <w:p>
            <w:pPr>
              <w:spacing w:after="40"/>
            </w:pPr>
            <w:r/>
            <w:r>
              <w:rPr>
                <w:rFonts w:ascii="Calibri" w:hAnsi="Calibri"/>
                <w:color w:val="565656"/>
                <w:sz w:val="18"/>
              </w:rPr>
              <w:t>Worker members, where a negotiating union exists</w:t>
            </w:r>
          </w:p>
        </w:tc>
        <w:tc>
          <w:tcPr>
            <w:tcW w:type="dxa" w:w="5184"/>
          </w:tcPr>
          <w:p>
            <w:pPr>
              <w:spacing w:after="40"/>
            </w:pPr>
            <w:r/>
            <w:r>
              <w:rPr>
                <w:rFonts w:ascii="Calibri" w:hAnsi="Calibri"/>
                <w:color w:val="565656"/>
                <w:sz w:val="18"/>
              </w:rPr>
              <w:t>The negotiating union recognised under s.14(2) or s.14(3) nominates them.</w:t>
            </w:r>
          </w:p>
        </w:tc>
        <w:tc>
          <w:tcPr>
            <w:tcW w:type="dxa" w:w="2304"/>
          </w:tcPr>
          <w:p>
            <w:pPr>
              <w:spacing w:after="40"/>
            </w:pPr>
            <w:r/>
            <w:r>
              <w:rPr>
                <w:rFonts w:ascii="Calibri" w:hAnsi="Calibri"/>
                <w:color w:val="565656"/>
                <w:sz w:val="18"/>
              </w:rPr>
              <w:t>rule 6(3)(a)</w:t>
            </w:r>
          </w:p>
        </w:tc>
      </w:tr>
      <w:tr>
        <w:tc>
          <w:tcPr>
            <w:tcW w:type="dxa" w:w="2448"/>
          </w:tcPr>
          <w:p>
            <w:pPr>
              <w:spacing w:after="40"/>
            </w:pPr>
            <w:r/>
            <w:r>
              <w:rPr>
                <w:rFonts w:ascii="Calibri" w:hAnsi="Calibri"/>
                <w:color w:val="565656"/>
                <w:sz w:val="18"/>
              </w:rPr>
              <w:t>Worker members, where a negotiating council exists</w:t>
            </w:r>
          </w:p>
        </w:tc>
        <w:tc>
          <w:tcPr>
            <w:tcW w:type="dxa" w:w="5184"/>
          </w:tcPr>
          <w:p>
            <w:pPr>
              <w:spacing w:after="40"/>
            </w:pPr>
            <w:r/>
            <w:r>
              <w:rPr>
                <w:rFonts w:ascii="Calibri" w:hAnsi="Calibri"/>
                <w:color w:val="565656"/>
                <w:sz w:val="18"/>
              </w:rPr>
              <w:t>Every registered trade union on the council is nominated in proportion to the number of workers of the establishment who are its members.</w:t>
            </w:r>
          </w:p>
        </w:tc>
        <w:tc>
          <w:tcPr>
            <w:tcW w:type="dxa" w:w="2304"/>
          </w:tcPr>
          <w:p>
            <w:pPr>
              <w:spacing w:after="40"/>
            </w:pPr>
            <w:r/>
            <w:r>
              <w:rPr>
                <w:rFonts w:ascii="Calibri" w:hAnsi="Calibri"/>
                <w:color w:val="565656"/>
                <w:sz w:val="18"/>
              </w:rPr>
              <w:t>rule 6(3)(b)</w:t>
            </w:r>
          </w:p>
        </w:tc>
      </w:tr>
      <w:tr>
        <w:tc>
          <w:tcPr>
            <w:tcW w:type="dxa" w:w="2448"/>
          </w:tcPr>
          <w:p>
            <w:pPr>
              <w:spacing w:after="40"/>
            </w:pPr>
            <w:r/>
            <w:r>
              <w:rPr>
                <w:rFonts w:ascii="Calibri" w:hAnsi="Calibri"/>
                <w:color w:val="565656"/>
                <w:sz w:val="18"/>
              </w:rPr>
              <w:t>Worker members, where there is neither</w:t>
            </w:r>
          </w:p>
        </w:tc>
        <w:tc>
          <w:tcPr>
            <w:tcW w:type="dxa" w:w="5184"/>
          </w:tcPr>
          <w:p>
            <w:pPr>
              <w:spacing w:after="40"/>
            </w:pPr>
            <w:r/>
            <w:r>
              <w:rPr>
                <w:rFonts w:ascii="Calibri" w:hAnsi="Calibri"/>
                <w:color w:val="565656"/>
                <w:sz w:val="18"/>
              </w:rPr>
              <w:t>The workers choose their own representatives from amongst themselves. The employer may run that choice on an electronic platform, an online platform or a similar application.</w:t>
            </w:r>
          </w:p>
        </w:tc>
        <w:tc>
          <w:tcPr>
            <w:tcW w:type="dxa" w:w="2304"/>
          </w:tcPr>
          <w:p>
            <w:pPr>
              <w:spacing w:after="40"/>
            </w:pPr>
            <w:r/>
            <w:r>
              <w:rPr>
                <w:rFonts w:ascii="Calibri" w:hAnsi="Calibri"/>
                <w:color w:val="565656"/>
                <w:sz w:val="18"/>
              </w:rPr>
              <w:t>rule 6(3)(c) and its first proviso</w:t>
            </w:r>
          </w:p>
        </w:tc>
      </w:tr>
      <w:tr>
        <w:tc>
          <w:tcPr>
            <w:tcW w:type="dxa" w:w="2448"/>
          </w:tcPr>
          <w:p>
            <w:pPr>
              <w:spacing w:after="40"/>
            </w:pPr>
            <w:r/>
            <w:r>
              <w:rPr>
                <w:rFonts w:ascii="Calibri" w:hAnsi="Calibri"/>
                <w:color w:val="565656"/>
                <w:sz w:val="18"/>
              </w:rPr>
              <w:t>Women members</w:t>
            </w:r>
          </w:p>
        </w:tc>
        <w:tc>
          <w:tcPr>
            <w:tcW w:type="dxa" w:w="5184"/>
          </w:tcPr>
          <w:p>
            <w:pPr>
              <w:spacing w:after="40"/>
            </w:pPr>
            <w:r/>
            <w:r>
              <w:rPr>
                <w:rFonts w:ascii="Calibri" w:hAnsi="Calibri"/>
                <w:color w:val="565656"/>
                <w:sz w:val="18"/>
              </w:rPr>
              <w:t>Representation of women workers shall not be less than the proportion of women workers to the total workers employed.</w:t>
            </w:r>
          </w:p>
        </w:tc>
        <w:tc>
          <w:tcPr>
            <w:tcW w:type="dxa" w:w="2304"/>
          </w:tcPr>
          <w:p>
            <w:pPr>
              <w:spacing w:after="40"/>
            </w:pPr>
            <w:r/>
            <w:r>
              <w:rPr>
                <w:rFonts w:ascii="Calibri" w:hAnsi="Calibri"/>
                <w:color w:val="565656"/>
                <w:sz w:val="18"/>
              </w:rPr>
              <w:t>s.4(4) proviso, rule 6(3) second proviso</w:t>
            </w:r>
          </w:p>
        </w:tc>
      </w:tr>
      <w:tr>
        <w:tc>
          <w:tcPr>
            <w:tcW w:type="dxa" w:w="2448"/>
          </w:tcPr>
          <w:p>
            <w:pPr>
              <w:spacing w:after="40"/>
            </w:pPr>
            <w:r/>
            <w:r>
              <w:rPr>
                <w:rFonts w:ascii="Calibri" w:hAnsi="Calibri"/>
                <w:color w:val="565656"/>
                <w:sz w:val="18"/>
              </w:rPr>
              <w:t>Chairperson</w:t>
            </w:r>
          </w:p>
        </w:tc>
        <w:tc>
          <w:tcPr>
            <w:tcW w:type="dxa" w:w="5184"/>
          </w:tcPr>
          <w:p>
            <w:pPr>
              <w:spacing w:after="40"/>
            </w:pPr>
            <w:r/>
            <w:r>
              <w:rPr>
                <w:rFonts w:ascii="Calibri" w:hAnsi="Calibri"/>
                <w:color w:val="565656"/>
                <w:sz w:val="18"/>
              </w:rPr>
              <w:t>Selected from among the employer representatives and the worker representatives alternately, on a rotational basis, every year.</w:t>
            </w:r>
          </w:p>
        </w:tc>
        <w:tc>
          <w:tcPr>
            <w:tcW w:type="dxa" w:w="2304"/>
          </w:tcPr>
          <w:p>
            <w:pPr>
              <w:spacing w:after="40"/>
            </w:pPr>
            <w:r/>
            <w:r>
              <w:rPr>
                <w:rFonts w:ascii="Calibri" w:hAnsi="Calibri"/>
                <w:color w:val="565656"/>
                <w:sz w:val="18"/>
              </w:rPr>
              <w:t>s.4(3)</w:t>
            </w:r>
          </w:p>
        </w:tc>
      </w:tr>
      <w:tr>
        <w:tc>
          <w:tcPr>
            <w:tcW w:type="dxa" w:w="2448"/>
          </w:tcPr>
          <w:p>
            <w:pPr>
              <w:spacing w:after="40"/>
            </w:pPr>
            <w:r/>
            <w:r>
              <w:rPr>
                <w:rFonts w:ascii="Calibri" w:hAnsi="Calibri"/>
                <w:color w:val="565656"/>
                <w:sz w:val="18"/>
              </w:rPr>
              <w:t>Term</w:t>
            </w:r>
          </w:p>
        </w:tc>
        <w:tc>
          <w:tcPr>
            <w:tcW w:type="dxa" w:w="5184"/>
          </w:tcPr>
          <w:p>
            <w:pPr>
              <w:spacing w:after="40"/>
            </w:pPr>
            <w:r/>
            <w:r>
              <w:rPr>
                <w:rFonts w:ascii="Calibri" w:hAnsi="Calibri"/>
                <w:color w:val="565656"/>
                <w:sz w:val="18"/>
              </w:rPr>
              <w:t>Three years for the members.</w:t>
            </w:r>
          </w:p>
        </w:tc>
        <w:tc>
          <w:tcPr>
            <w:tcW w:type="dxa" w:w="2304"/>
          </w:tcPr>
          <w:p>
            <w:pPr>
              <w:spacing w:after="40"/>
            </w:pPr>
            <w:r/>
            <w:r>
              <w:rPr>
                <w:rFonts w:ascii="Calibri" w:hAnsi="Calibri"/>
                <w:color w:val="565656"/>
                <w:sz w:val="18"/>
              </w:rPr>
              <w:t>rule 6(4)</w:t>
            </w:r>
          </w:p>
        </w:tc>
      </w:tr>
      <w:tr>
        <w:tc>
          <w:tcPr>
            <w:tcW w:type="dxa" w:w="2448"/>
          </w:tcPr>
          <w:p>
            <w:pPr>
              <w:spacing w:after="40"/>
            </w:pPr>
            <w:r/>
            <w:r>
              <w:rPr>
                <w:rFonts w:ascii="Calibri" w:hAnsi="Calibri"/>
                <w:color w:val="565656"/>
                <w:sz w:val="18"/>
              </w:rPr>
              <w:t>If the choice of worker members is disputed</w:t>
            </w:r>
          </w:p>
        </w:tc>
        <w:tc>
          <w:tcPr>
            <w:tcW w:type="dxa" w:w="5184"/>
          </w:tcPr>
          <w:p>
            <w:pPr>
              <w:spacing w:after="40"/>
            </w:pPr>
            <w:r/>
            <w:r>
              <w:rPr>
                <w:rFonts w:ascii="Calibri" w:hAnsi="Calibri"/>
                <w:color w:val="565656"/>
                <w:sz w:val="18"/>
              </w:rPr>
              <w:t>Where there is no recognised negotiating union or council, the matter may go to the Regional Labour Commissioner (Central), who decides after hearing the parties. That decision is final.</w:t>
            </w:r>
          </w:p>
        </w:tc>
        <w:tc>
          <w:tcPr>
            <w:tcW w:type="dxa" w:w="2304"/>
          </w:tcPr>
          <w:p>
            <w:pPr>
              <w:spacing w:after="40"/>
            </w:pPr>
            <w:r/>
            <w:r>
              <w:rPr>
                <w:rFonts w:ascii="Calibri" w:hAnsi="Calibri"/>
                <w:color w:val="565656"/>
                <w:sz w:val="18"/>
              </w:rPr>
              <w:t>rule 6(5)</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i w:val="0"/>
          <w:color w:val="1D1D1D"/>
          <w:sz w:val="22"/>
        </w:rPr>
        <w:t>The women proportion, worked</w:t>
      </w:r>
    </w:p>
    <w:p>
      <w:pPr>
        <w:keepNext w:val="0"/>
        <w:spacing w:after="160" w:before="0"/>
      </w:pPr>
      <w:r>
        <w:rPr>
          <w:rFonts w:ascii="Calibri" w:hAnsi="Calibri"/>
          <w:b w:val="0"/>
          <w:i w:val="0"/>
          <w:color w:val="565656"/>
          <w:sz w:val="20"/>
        </w:rPr>
        <w:t>The proviso sets a floor, not a target. Work it out and put the arithmetic in the resolution so nobody has to redo it later.</w:t>
      </w:r>
    </w:p>
    <w:tbl>
      <w:tblPr>
        <w:tblStyle w:val="TableGrid"/>
        <w:tblW w:type="auto" w:w="0"/>
        <w:tblLook w:firstColumn="1" w:firstRow="1" w:lastColumn="0" w:lastRow="0" w:noHBand="0" w:noVBand="1" w:val="04A0"/>
      </w:tblPr>
      <w:tblGrid>
        <w:gridCol w:w="4824"/>
        <w:gridCol w:w="4824"/>
      </w:tblGrid>
      <w:tr>
        <w:tc>
          <w:tcPr>
            <w:tcW w:type="dxa" w:w="5760"/>
          </w:tcPr>
          <w:p>
            <w:pPr>
              <w:spacing w:after="40"/>
              <w:shd w:val="clear" w:fill="E8F4FC"/>
            </w:pPr>
            <w:r/>
            <w:r>
              <w:rPr>
                <w:rFonts w:ascii="Calibri" w:hAnsi="Calibri"/>
                <w:b/>
                <w:color w:val="0069A4"/>
                <w:sz w:val="18"/>
              </w:rPr>
              <w:t>Step</w:t>
            </w:r>
          </w:p>
        </w:tc>
        <w:tc>
          <w:tcPr>
            <w:tcW w:type="dxa" w:w="2160"/>
          </w:tcPr>
          <w:p>
            <w:pPr>
              <w:spacing w:after="40"/>
              <w:shd w:val="clear" w:fill="E8F4FC"/>
            </w:pPr>
            <w:r/>
            <w:r>
              <w:rPr>
                <w:rFonts w:ascii="Calibri" w:hAnsi="Calibri"/>
                <w:b/>
                <w:color w:val="0069A4"/>
                <w:sz w:val="18"/>
              </w:rPr>
              <w:t>Figure</w:t>
            </w:r>
          </w:p>
        </w:tc>
      </w:tr>
      <w:tr>
        <w:tc>
          <w:tcPr>
            <w:tcW w:type="dxa" w:w="5760"/>
          </w:tcPr>
          <w:p>
            <w:pPr>
              <w:spacing w:after="40"/>
            </w:pPr>
            <w:r/>
            <w:r>
              <w:rPr>
                <w:rFonts w:ascii="Calibri" w:hAnsi="Calibri"/>
                <w:color w:val="565656"/>
                <w:sz w:val="18"/>
              </w:rPr>
              <w:t>Total workers in the establishment</w:t>
            </w:r>
          </w:p>
        </w:tc>
        <w:tc>
          <w:tcPr>
            <w:tcW w:type="dxa" w:w="2160"/>
          </w:tcPr>
          <w:p>
            <w:pPr>
              <w:spacing w:after="40"/>
            </w:pPr>
            <w:r/>
            <w:r>
              <w:rPr>
                <w:rFonts w:ascii="Calibri" w:hAnsi="Calibri"/>
                <w:color w:val="565656"/>
                <w:sz w:val="18"/>
              </w:rPr>
              <w:t>40</w:t>
            </w:r>
          </w:p>
        </w:tc>
      </w:tr>
      <w:tr>
        <w:tc>
          <w:tcPr>
            <w:tcW w:type="dxa" w:w="5760"/>
          </w:tcPr>
          <w:p>
            <w:pPr>
              <w:spacing w:after="40"/>
            </w:pPr>
            <w:r/>
            <w:r>
              <w:rPr>
                <w:rFonts w:ascii="Calibri" w:hAnsi="Calibri"/>
                <w:color w:val="565656"/>
                <w:sz w:val="18"/>
              </w:rPr>
              <w:t>Of whom women</w:t>
            </w:r>
          </w:p>
        </w:tc>
        <w:tc>
          <w:tcPr>
            <w:tcW w:type="dxa" w:w="2160"/>
          </w:tcPr>
          <w:p>
            <w:pPr>
              <w:spacing w:after="40"/>
            </w:pPr>
            <w:r/>
            <w:r>
              <w:rPr>
                <w:rFonts w:ascii="Calibri" w:hAnsi="Calibri"/>
                <w:color w:val="565656"/>
                <w:sz w:val="18"/>
              </w:rPr>
              <w:t>12</w:t>
            </w:r>
          </w:p>
        </w:tc>
      </w:tr>
      <w:tr>
        <w:tc>
          <w:tcPr>
            <w:tcW w:type="dxa" w:w="5760"/>
          </w:tcPr>
          <w:p>
            <w:pPr>
              <w:spacing w:after="40"/>
            </w:pPr>
            <w:r/>
            <w:r>
              <w:rPr>
                <w:rFonts w:ascii="Calibri" w:hAnsi="Calibri"/>
                <w:color w:val="565656"/>
                <w:sz w:val="18"/>
              </w:rPr>
              <w:t>Proportion of women workers</w:t>
            </w:r>
          </w:p>
        </w:tc>
        <w:tc>
          <w:tcPr>
            <w:tcW w:type="dxa" w:w="2160"/>
          </w:tcPr>
          <w:p>
            <w:pPr>
              <w:spacing w:after="40"/>
            </w:pPr>
            <w:r/>
            <w:r>
              <w:rPr>
                <w:rFonts w:ascii="Calibri" w:hAnsi="Calibri"/>
                <w:color w:val="565656"/>
                <w:sz w:val="18"/>
              </w:rPr>
              <w:t>30%</w:t>
            </w:r>
          </w:p>
        </w:tc>
      </w:tr>
      <w:tr>
        <w:tc>
          <w:tcPr>
            <w:tcW w:type="dxa" w:w="5760"/>
          </w:tcPr>
          <w:p>
            <w:pPr>
              <w:spacing w:after="40"/>
            </w:pPr>
            <w:r/>
            <w:r>
              <w:rPr>
                <w:rFonts w:ascii="Calibri" w:hAnsi="Calibri"/>
                <w:color w:val="565656"/>
                <w:sz w:val="18"/>
              </w:rPr>
              <w:t>Members on the Grievance Committee</w:t>
            </w:r>
          </w:p>
        </w:tc>
        <w:tc>
          <w:tcPr>
            <w:tcW w:type="dxa" w:w="2160"/>
          </w:tcPr>
          <w:p>
            <w:pPr>
              <w:spacing w:after="40"/>
            </w:pPr>
            <w:r/>
            <w:r>
              <w:rPr>
                <w:rFonts w:ascii="Calibri" w:hAnsi="Calibri"/>
                <w:color w:val="565656"/>
                <w:sz w:val="18"/>
              </w:rPr>
              <w:t>6</w:t>
            </w:r>
          </w:p>
        </w:tc>
      </w:tr>
      <w:tr>
        <w:tc>
          <w:tcPr>
            <w:tcW w:type="dxa" w:w="5760"/>
          </w:tcPr>
          <w:p>
            <w:pPr>
              <w:spacing w:after="40"/>
            </w:pPr>
            <w:r/>
            <w:r>
              <w:rPr>
                <w:rFonts w:ascii="Calibri" w:hAnsi="Calibri"/>
                <w:color w:val="565656"/>
                <w:sz w:val="18"/>
              </w:rPr>
              <w:t>Thirty per cent of six</w:t>
            </w:r>
          </w:p>
        </w:tc>
        <w:tc>
          <w:tcPr>
            <w:tcW w:type="dxa" w:w="2160"/>
          </w:tcPr>
          <w:p>
            <w:pPr>
              <w:spacing w:after="40"/>
            </w:pPr>
            <w:r/>
            <w:r>
              <w:rPr>
                <w:rFonts w:ascii="Calibri" w:hAnsi="Calibri"/>
                <w:color w:val="565656"/>
                <w:sz w:val="18"/>
              </w:rPr>
              <w:t>1.8</w:t>
            </w:r>
          </w:p>
        </w:tc>
      </w:tr>
      <w:tr>
        <w:tc>
          <w:tcPr>
            <w:tcW w:type="dxa" w:w="5760"/>
          </w:tcPr>
          <w:p>
            <w:pPr>
              <w:spacing w:after="40"/>
            </w:pPr>
            <w:r/>
            <w:r>
              <w:rPr>
                <w:rFonts w:ascii="Calibri" w:hAnsi="Calibri"/>
                <w:color w:val="565656"/>
                <w:sz w:val="18"/>
              </w:rPr>
              <w:t>Women members needed, rounded up</w:t>
            </w:r>
          </w:p>
        </w:tc>
        <w:tc>
          <w:tcPr>
            <w:tcW w:type="dxa" w:w="2160"/>
          </w:tcPr>
          <w:p>
            <w:pPr>
              <w:spacing w:after="40"/>
            </w:pPr>
            <w:r/>
            <w:r>
              <w:rPr>
                <w:rFonts w:ascii="Calibri" w:hAnsi="Calibri"/>
                <w:color w:val="565656"/>
                <w:sz w:val="18"/>
              </w:rPr>
              <w:t>2</w:t>
            </w:r>
          </w:p>
        </w:tc>
      </w:tr>
    </w:tbl>
    <w:p>
      <w:pPr>
        <w:keepNext w:val="0"/>
        <w:spacing w:after="120" w:before="0"/>
      </w:pPr>
      <w:r>
        <w:rPr>
          <w:rFonts w:ascii="Calibri" w:hAnsi="Calibri"/>
          <w:b w:val="0"/>
          <w:i w:val="0"/>
          <w:color w:val="1D1D1D"/>
          <w:sz w:val="21"/>
        </w:rPr>
      </w:r>
    </w:p>
    <w:p>
      <w:pPr>
        <w:keepNext w:val="0"/>
        <w:spacing w:after="160" w:before="0"/>
      </w:pPr>
      <w:r>
        <w:rPr>
          <w:rFonts w:ascii="Calibri" w:hAnsi="Calibri"/>
          <w:b w:val="0"/>
          <w:i/>
          <w:color w:val="565656"/>
          <w:sz w:val="19"/>
        </w:rPr>
        <w:t>Rounding up is our reading, not the rule's words. The proviso says representation shall not be less than the proportion, and a committee cannot seat eight tenths of a person, so one woman member on these numbers would be less than thirty per cent and two is the smallest number that is not.</w:t>
      </w:r>
    </w:p>
    <w:p>
      <w:pPr>
        <w:spacing w:after="120"/>
        <w:ind w:left="288"/>
      </w:pPr>
      <w:r>
        <w:rPr>
          <w:rFonts w:ascii="Calibri" w:hAnsi="Calibri"/>
          <w:b/>
          <w:color w:val="0069A4"/>
          <w:sz w:val="17"/>
        </w:rPr>
        <w:t xml:space="preserve">Rests on  </w:t>
      </w:r>
      <w:r>
        <w:rPr>
          <w:rFonts w:ascii="Calibri" w:hAnsi="Calibri"/>
          <w:i/>
          <w:color w:val="565656"/>
          <w:sz w:val="17"/>
        </w:rPr>
        <w:t>IR (Central) Rules, 2026, rule 6; IR Code, 2020, s.4(3) and s.4(4)</w:t>
      </w:r>
    </w:p>
    <w:p>
      <w:r>
        <w:br w:type="page"/>
      </w:r>
    </w:p>
    <w:p>
      <w:pPr>
        <w:pStyle w:val="Heading1"/>
        <w:keepNext/>
        <w:spacing w:after="200" w:before="80"/>
        <w:ind w:left="115"/>
        <w:shd w:val="clear" w:fill="008CDB"/>
      </w:pPr>
      <w:r>
        <w:rPr>
          <w:rFonts w:ascii="Calibri" w:hAnsi="Calibri"/>
          <w:b/>
          <w:color w:val="FFFFFF"/>
          <w:sz w:val="22"/>
        </w:rPr>
        <w:t>4  ·  WHAT THIS PACK DOES NOT CLAIM</w:t>
      </w:r>
    </w:p>
    <w:p>
      <w:pPr>
        <w:keepNext w:val="0"/>
        <w:spacing w:after="200" w:before="0"/>
      </w:pPr>
      <w:r>
        <w:rPr>
          <w:rFonts w:ascii="Calibri" w:hAnsi="Calibri"/>
          <w:b w:val="0"/>
          <w:i w:val="0"/>
          <w:color w:val="1D1D1D"/>
          <w:sz w:val="21"/>
        </w:rPr>
        <w:t>Three things you will find in other guidance that are not in the law, and one that is in the law but is not a deadline.</w:t>
      </w:r>
    </w:p>
    <w:p>
      <w:pPr>
        <w:keepNext w:val="0"/>
        <w:spacing w:after="80" w:before="0"/>
      </w:pPr>
      <w:r>
        <w:rPr>
          <w:rFonts w:ascii="Calibri" w:hAnsi="Calibri"/>
          <w:b/>
          <w:i w:val="0"/>
          <w:color w:val="1D1D1D"/>
          <w:sz w:val="22"/>
        </w:rPr>
        <w:t>The Works Committee rules are not these rules</w:t>
      </w:r>
    </w:p>
    <w:p>
      <w:pPr>
        <w:keepNext w:val="0"/>
        <w:spacing w:after="200" w:before="0"/>
      </w:pPr>
      <w:r>
        <w:rPr>
          <w:rFonts w:ascii="Calibri" w:hAnsi="Calibri"/>
          <w:b w:val="0"/>
          <w:i w:val="0"/>
          <w:color w:val="1D1D1D"/>
          <w:sz w:val="20"/>
        </w:rPr>
        <w:t>Rule 5 of the same 2026 rules runs to twenty-one sub-rules and sits on the page immediately above rule 6. It gives the Works Committee a Chairperson, a Vice-Chairperson, a Secretary and a Joint-Secretary, meetings not less than once in three months, a place and facilities to be provided by the employer, a line in the unified annual return under the OSH rules, and a government power to dissolve it. None of that governs the Grievance Committee. Rule 6 gives it no office-bearers beyond the chairperson in section 4(3), no meeting frequency, no return and no dissolution power. Adopting rule 5 here invents duties nobody imposed.</w:t>
      </w:r>
    </w:p>
    <w:p>
      <w:pPr>
        <w:keepNext w:val="0"/>
        <w:spacing w:after="80" w:before="0"/>
      </w:pPr>
      <w:r>
        <w:rPr>
          <w:rFonts w:ascii="Calibri" w:hAnsi="Calibri"/>
          <w:b/>
          <w:i w:val="0"/>
          <w:color w:val="1D1D1D"/>
          <w:sz w:val="22"/>
        </w:rPr>
        <w:t>Nobody is told who SELECTS the chairperson</w:t>
      </w:r>
    </w:p>
    <w:p>
      <w:pPr>
        <w:keepNext w:val="0"/>
        <w:spacing w:after="200" w:before="0"/>
      </w:pPr>
      <w:r>
        <w:rPr>
          <w:rFonts w:ascii="Calibri" w:hAnsi="Calibri"/>
          <w:b w:val="0"/>
          <w:i w:val="0"/>
          <w:color w:val="1D1D1D"/>
          <w:sz w:val="20"/>
        </w:rPr>
        <w:t>Section 4(3) is written in the passive: the chairperson shall be selected from among persons representing the employer and the workers alternately, on a rotational basis, every year. It never says by whom, and rule 6 contains no chairperson provision at all. Rule 5(14)(ii), one page earlier, does say it for the WORKS Committee: nominated by the employer from amongst the employer's representatives. Borrowing that here would have the employer nominating the worker side's chairperson in the alternating year, which is the one thing alternation exists to prevent. The safer course, and the one this pack takes, is that each side selects the chairperson in its own year.</w:t>
      </w:r>
    </w:p>
    <w:p>
      <w:pPr>
        <w:keepNext w:val="0"/>
        <w:spacing w:after="80" w:before="0"/>
      </w:pPr>
      <w:r>
        <w:rPr>
          <w:rFonts w:ascii="Calibri" w:hAnsi="Calibri"/>
          <w:b/>
          <w:i w:val="0"/>
          <w:color w:val="1D1D1D"/>
          <w:sz w:val="22"/>
        </w:rPr>
        <w:t>There is no prescribed Form for a grievance application</w:t>
      </w:r>
    </w:p>
    <w:p>
      <w:pPr>
        <w:keepNext w:val="0"/>
        <w:spacing w:after="200" w:before="0"/>
      </w:pPr>
      <w:r>
        <w:rPr>
          <w:rFonts w:ascii="Calibri" w:hAnsi="Calibri"/>
          <w:b w:val="0"/>
          <w:i w:val="0"/>
          <w:color w:val="1D1D1D"/>
          <w:sz w:val="20"/>
        </w:rPr>
        <w:t>No Form is prescribed under rule 7. The Schedule to these rules carries fifteen Forms, numbered I to XV, and not one of them is made under rule 7. Rule 7(1) fixes the ten particulars an application must state and says nothing about a form. Format 04 in this pack carries those ten particulars, and it is our format, not a statutory one. A worker who writes the same ten things on a sheet of paper has made a valid application.</w:t>
      </w:r>
    </w:p>
    <w:p>
      <w:pPr>
        <w:keepNext w:val="0"/>
        <w:spacing w:after="80" w:before="0"/>
      </w:pPr>
      <w:r>
        <w:rPr>
          <w:rFonts w:ascii="Calibri" w:hAnsi="Calibri"/>
          <w:b/>
          <w:i w:val="0"/>
          <w:color w:val="1D1D1D"/>
          <w:sz w:val="22"/>
        </w:rPr>
        <w:t>Thirty days is not a deadline</w:t>
      </w:r>
    </w:p>
    <w:p>
      <w:pPr>
        <w:keepNext w:val="0"/>
        <w:spacing w:after="200" w:before="0"/>
      </w:pPr>
      <w:r>
        <w:rPr>
          <w:rFonts w:ascii="Calibri" w:hAnsi="Calibri"/>
          <w:b w:val="0"/>
          <w:i w:val="0"/>
          <w:color w:val="1D1D1D"/>
          <w:sz w:val="20"/>
        </w:rPr>
        <w:t>Section 4(6) says the committee may complete its proceedings within thirty days. May. There is no penalty attached to missing it. What it actually does is open the worker's sixty day right to go to the conciliation officer, which is the consequence worth diarising.</w:t>
      </w:r>
    </w:p>
    <w:p>
      <w:pPr>
        <w:keepNext w:val="0"/>
        <w:spacing w:after="80" w:before="0"/>
      </w:pPr>
      <w:r>
        <w:rPr>
          <w:rFonts w:ascii="Calibri" w:hAnsi="Calibri"/>
          <w:b/>
          <w:i w:val="0"/>
          <w:color w:val="1D1D1D"/>
          <w:sz w:val="22"/>
        </w:rPr>
        <w:t>The POSH committee is a different body</w:t>
      </w:r>
    </w:p>
    <w:p>
      <w:pPr>
        <w:keepNext w:val="0"/>
        <w:spacing w:after="200" w:before="0"/>
      </w:pPr>
      <w:r>
        <w:rPr>
          <w:rFonts w:ascii="Calibri" w:hAnsi="Calibri"/>
          <w:b w:val="0"/>
          <w:i w:val="0"/>
          <w:color w:val="1D1D1D"/>
          <w:sz w:val="20"/>
        </w:rPr>
        <w:t>The Internal Committee under the Sexual Harassment of Women at Workplace (Prevention, Prohibition and Redressal) Act, 2013 is constituted under a different statute, with a different composition and a different procedure, for one category of complaint. It is not a Grievance Redressal Committee and neither discharges the other.</w:t>
      </w:r>
    </w:p>
    <w:p>
      <w:pPr>
        <w:keepNext w:val="0"/>
        <w:spacing w:after="80" w:before="0"/>
      </w:pPr>
      <w:r>
        <w:rPr>
          <w:rFonts w:ascii="Calibri" w:hAnsi="Calibri"/>
          <w:b/>
          <w:i w:val="0"/>
          <w:color w:val="1D1D1D"/>
          <w:sz w:val="22"/>
        </w:rPr>
        <w:t>The committee is also a key, not only a duty</w:t>
      </w:r>
    </w:p>
    <w:p>
      <w:pPr>
        <w:keepNext w:val="0"/>
        <w:spacing w:after="200" w:before="0"/>
      </w:pPr>
      <w:r>
        <w:rPr>
          <w:rFonts w:ascii="Calibri" w:hAnsi="Calibri"/>
          <w:b w:val="0"/>
          <w:i w:val="0"/>
          <w:color w:val="1D1D1D"/>
          <w:sz w:val="20"/>
        </w:rPr>
        <w:t>Section 40 stops an employer changing any condition of service in the Third Schedule without giving notice and waiting twenty-one days. Its proviso (c) makes one exception that runs through this committee: where an emergent situation requires a change of shift or shift working otherwise than in accordance with standing orders, no notice is required if the change is made in consultation with the Grievance Redressal Committee. That is a working benefit, not a compliance cost. An establishment that never constituted a committee has nobody to consult, and so cannot use the exception at all.</w:t>
      </w:r>
    </w:p>
    <w:p>
      <w:pPr>
        <w:keepNext w:val="0"/>
        <w:spacing w:after="80" w:before="0"/>
      </w:pPr>
      <w:r>
        <w:rPr>
          <w:rFonts w:ascii="Calibri" w:hAnsi="Calibri"/>
          <w:b/>
          <w:i w:val="0"/>
          <w:color w:val="1D1D1D"/>
          <w:sz w:val="22"/>
        </w:rPr>
        <w:t>What happens if you simply do not constitute one</w:t>
      </w:r>
    </w:p>
    <w:p>
      <w:pPr>
        <w:keepNext w:val="0"/>
        <w:spacing w:after="160" w:before="0"/>
      </w:pPr>
      <w:r>
        <w:rPr>
          <w:rFonts w:ascii="Calibri" w:hAnsi="Calibri"/>
          <w:b w:val="0"/>
          <w:i w:val="0"/>
          <w:color w:val="1D1D1D"/>
          <w:sz w:val="20"/>
        </w:rPr>
        <w:t>Section 4 carries no penalty of its own. The residual provision in section 86(20) covers contravention of any other provision of the Code or the rules, with a fine which may extend to ₹1,00,000. Under section 87(1) a court takes cognizance only on a complaint made by or under the authority of the appropriate Government. So the realistic exposure is not a routine inspection fine. It is an aggrieved worker with a live dispute and an employer with no constituted committee and no record of one.</w:t>
      </w:r>
    </w:p>
    <w:p>
      <w:pPr>
        <w:spacing w:after="120"/>
        <w:ind w:left="288"/>
      </w:pPr>
      <w:r>
        <w:rPr>
          <w:rFonts w:ascii="Calibri" w:hAnsi="Calibri"/>
          <w:b/>
          <w:color w:val="0069A4"/>
          <w:sz w:val="17"/>
        </w:rPr>
        <w:t xml:space="preserve">Rests on  </w:t>
      </w:r>
      <w:r>
        <w:rPr>
          <w:rFonts w:ascii="Calibri" w:hAnsi="Calibri"/>
          <w:i/>
          <w:color w:val="565656"/>
          <w:sz w:val="17"/>
        </w:rPr>
        <w:t>IR (Central) Rules, 2026, rules 5, 6 and 7 and the Schedule; IR Code, 2020, s.4(6), s.40, s.86(20) and s.87(1)</w:t>
      </w:r>
    </w:p>
    <w:p>
      <w:r>
        <w:br w:type="page"/>
      </w:r>
    </w:p>
    <w:p>
      <w:pPr>
        <w:pStyle w:val="Heading1"/>
        <w:keepNext/>
        <w:spacing w:after="200" w:before="80"/>
        <w:ind w:left="115"/>
        <w:shd w:val="clear" w:fill="008CDB"/>
      </w:pPr>
      <w:r>
        <w:rPr>
          <w:rFonts w:ascii="Calibri" w:hAnsi="Calibri"/>
          <w:b/>
          <w:color w:val="FFFFFF"/>
          <w:sz w:val="22"/>
        </w:rPr>
        <w:t>5  ·  TEN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8"/>
              </w:rPr>
              <w:t>#</w:t>
            </w:r>
          </w:p>
        </w:tc>
        <w:tc>
          <w:tcPr>
            <w:tcW w:type="dxa" w:w="3024"/>
          </w:tcPr>
          <w:p>
            <w:pPr>
              <w:spacing w:after="40"/>
              <w:shd w:val="clear" w:fill="E8F4FC"/>
            </w:pPr>
            <w:r/>
            <w:r>
              <w:rPr>
                <w:rFonts w:ascii="Calibri" w:hAnsi="Calibri"/>
                <w:b/>
                <w:color w:val="0069A4"/>
                <w:sz w:val="18"/>
              </w:rPr>
              <w:t>Format</w:t>
            </w:r>
          </w:p>
        </w:tc>
        <w:tc>
          <w:tcPr>
            <w:tcW w:type="dxa" w:w="6336"/>
          </w:tcPr>
          <w:p>
            <w:pPr>
              <w:spacing w:after="40"/>
              <w:shd w:val="clear" w:fill="E8F4FC"/>
            </w:pPr>
            <w:r/>
            <w:r>
              <w:rPr>
                <w:rFonts w:ascii="Calibri" w:hAnsi="Calibri"/>
                <w:b/>
                <w:color w:val="0069A4"/>
                <w:sz w:val="18"/>
              </w:rPr>
              <w:t>When you use it</w:t>
            </w:r>
          </w:p>
        </w:tc>
      </w:tr>
      <w:tr>
        <w:tc>
          <w:tcPr>
            <w:tcW w:type="dxa" w:w="576"/>
          </w:tcPr>
          <w:p>
            <w:pPr>
              <w:spacing w:after="40"/>
            </w:pPr>
            <w:r/>
            <w:r>
              <w:rPr>
                <w:rFonts w:ascii="Calibri" w:hAnsi="Calibri"/>
                <w:color w:val="565656"/>
                <w:sz w:val="18"/>
              </w:rPr>
              <w:t>01</w:t>
            </w:r>
          </w:p>
        </w:tc>
        <w:tc>
          <w:tcPr>
            <w:tcW w:type="dxa" w:w="3024"/>
          </w:tcPr>
          <w:p>
            <w:pPr>
              <w:spacing w:after="40"/>
            </w:pPr>
            <w:r/>
            <w:r>
              <w:rPr>
                <w:rFonts w:ascii="Calibri" w:hAnsi="Calibri"/>
                <w:color w:val="565656"/>
                <w:sz w:val="18"/>
              </w:rPr>
              <w:t>Grievance redressal policy</w:t>
            </w:r>
          </w:p>
        </w:tc>
        <w:tc>
          <w:tcPr>
            <w:tcW w:type="dxa" w:w="6336"/>
          </w:tcPr>
          <w:p>
            <w:pPr>
              <w:spacing w:after="40"/>
            </w:pPr>
            <w:r/>
            <w:r>
              <w:rPr>
                <w:rFonts w:ascii="Calibri" w:hAnsi="Calibri"/>
                <w:color w:val="565656"/>
                <w:sz w:val="18"/>
              </w:rPr>
              <w:t>The standing document. Adopt it once, make it known to every worker, and it answers most of what section 4 and rules 6 to 8 require.</w:t>
            </w:r>
          </w:p>
        </w:tc>
      </w:tr>
      <w:tr>
        <w:tc>
          <w:tcPr>
            <w:tcW w:type="dxa" w:w="576"/>
          </w:tcPr>
          <w:p>
            <w:pPr>
              <w:spacing w:after="40"/>
            </w:pPr>
            <w:r/>
            <w:r>
              <w:rPr>
                <w:rFonts w:ascii="Calibri" w:hAnsi="Calibri"/>
                <w:color w:val="565656"/>
                <w:sz w:val="18"/>
              </w:rPr>
              <w:t>02</w:t>
            </w:r>
          </w:p>
        </w:tc>
        <w:tc>
          <w:tcPr>
            <w:tcW w:type="dxa" w:w="3024"/>
          </w:tcPr>
          <w:p>
            <w:pPr>
              <w:spacing w:after="40"/>
            </w:pPr>
            <w:r/>
            <w:r>
              <w:rPr>
                <w:rFonts w:ascii="Calibri" w:hAnsi="Calibri"/>
                <w:color w:val="565656"/>
                <w:sz w:val="18"/>
              </w:rPr>
              <w:t>Resolution constituting the Grievance Redressal Committee</w:t>
            </w:r>
          </w:p>
        </w:tc>
        <w:tc>
          <w:tcPr>
            <w:tcW w:type="dxa" w:w="6336"/>
          </w:tcPr>
          <w:p>
            <w:pPr>
              <w:spacing w:after="40"/>
            </w:pPr>
            <w:r/>
            <w:r>
              <w:rPr>
                <w:rFonts w:ascii="Calibri" w:hAnsi="Calibri"/>
                <w:color w:val="565656"/>
                <w:sz w:val="18"/>
              </w:rPr>
              <w:t>The minute that actually creates the committee, with the equal numbers, the women proportion and the three year term on the record.</w:t>
            </w:r>
          </w:p>
        </w:tc>
      </w:tr>
      <w:tr>
        <w:tc>
          <w:tcPr>
            <w:tcW w:type="dxa" w:w="576"/>
          </w:tcPr>
          <w:p>
            <w:pPr>
              <w:spacing w:after="40"/>
            </w:pPr>
            <w:r/>
            <w:r>
              <w:rPr>
                <w:rFonts w:ascii="Calibri" w:hAnsi="Calibri"/>
                <w:color w:val="565656"/>
                <w:sz w:val="18"/>
              </w:rPr>
              <w:t>03</w:t>
            </w:r>
          </w:p>
        </w:tc>
        <w:tc>
          <w:tcPr>
            <w:tcW w:type="dxa" w:w="3024"/>
          </w:tcPr>
          <w:p>
            <w:pPr>
              <w:spacing w:after="40"/>
            </w:pPr>
            <w:r/>
            <w:r>
              <w:rPr>
                <w:rFonts w:ascii="Calibri" w:hAnsi="Calibri"/>
                <w:color w:val="565656"/>
                <w:sz w:val="18"/>
              </w:rPr>
              <w:t>Notice to workers announcing the committee</w:t>
            </w:r>
          </w:p>
        </w:tc>
        <w:tc>
          <w:tcPr>
            <w:tcW w:type="dxa" w:w="6336"/>
          </w:tcPr>
          <w:p>
            <w:pPr>
              <w:spacing w:after="40"/>
            </w:pPr>
            <w:r/>
            <w:r>
              <w:rPr>
                <w:rFonts w:ascii="Calibri" w:hAnsi="Calibri"/>
                <w:color w:val="565656"/>
                <w:sz w:val="18"/>
              </w:rPr>
              <w:t>For the notice board and the HR portal. A committee nobody has been told about receives no applications.</w:t>
            </w:r>
          </w:p>
        </w:tc>
      </w:tr>
      <w:tr>
        <w:tc>
          <w:tcPr>
            <w:tcW w:type="dxa" w:w="576"/>
          </w:tcPr>
          <w:p>
            <w:pPr>
              <w:spacing w:after="40"/>
            </w:pPr>
            <w:r/>
            <w:r>
              <w:rPr>
                <w:rFonts w:ascii="Calibri" w:hAnsi="Calibri"/>
                <w:color w:val="565656"/>
                <w:sz w:val="18"/>
              </w:rPr>
              <w:t>04</w:t>
            </w:r>
          </w:p>
        </w:tc>
        <w:tc>
          <w:tcPr>
            <w:tcW w:type="dxa" w:w="3024"/>
          </w:tcPr>
          <w:p>
            <w:pPr>
              <w:spacing w:after="40"/>
            </w:pPr>
            <w:r/>
            <w:r>
              <w:rPr>
                <w:rFonts w:ascii="Calibri" w:hAnsi="Calibri"/>
                <w:color w:val="565656"/>
                <w:sz w:val="18"/>
              </w:rPr>
              <w:t>Grievance application, for the worker to fill</w:t>
            </w:r>
          </w:p>
        </w:tc>
        <w:tc>
          <w:tcPr>
            <w:tcW w:type="dxa" w:w="6336"/>
          </w:tcPr>
          <w:p>
            <w:pPr>
              <w:spacing w:after="40"/>
            </w:pPr>
            <w:r/>
            <w:r>
              <w:rPr>
                <w:rFonts w:ascii="Calibri" w:hAnsi="Calibri"/>
                <w:color w:val="565656"/>
                <w:sz w:val="18"/>
              </w:rPr>
              <w:t>Carries the ten particulars rule 7(1) requires. No Form is prescribed under rule 7, so this is our format, not a statutory one.</w:t>
            </w:r>
          </w:p>
        </w:tc>
      </w:tr>
      <w:tr>
        <w:tc>
          <w:tcPr>
            <w:tcW w:type="dxa" w:w="576"/>
          </w:tcPr>
          <w:p>
            <w:pPr>
              <w:spacing w:after="40"/>
            </w:pPr>
            <w:r/>
            <w:r>
              <w:rPr>
                <w:rFonts w:ascii="Calibri" w:hAnsi="Calibri"/>
                <w:color w:val="565656"/>
                <w:sz w:val="18"/>
              </w:rPr>
              <w:t>05</w:t>
            </w:r>
          </w:p>
        </w:tc>
        <w:tc>
          <w:tcPr>
            <w:tcW w:type="dxa" w:w="3024"/>
          </w:tcPr>
          <w:p>
            <w:pPr>
              <w:spacing w:after="40"/>
            </w:pPr>
            <w:r/>
            <w:r>
              <w:rPr>
                <w:rFonts w:ascii="Calibri" w:hAnsi="Calibri"/>
                <w:color w:val="565656"/>
                <w:sz w:val="18"/>
              </w:rPr>
              <w:t>Acknowledgement of a grievance received</w:t>
            </w:r>
          </w:p>
        </w:tc>
        <w:tc>
          <w:tcPr>
            <w:tcW w:type="dxa" w:w="6336"/>
          </w:tcPr>
          <w:p>
            <w:pPr>
              <w:spacing w:after="40"/>
            </w:pPr>
            <w:r/>
            <w:r>
              <w:rPr>
                <w:rFonts w:ascii="Calibri" w:hAnsi="Calibri"/>
                <w:color w:val="565656"/>
                <w:sz w:val="18"/>
              </w:rPr>
              <w:t>Date stamped, because the thirty days in s.4(6) run from receipt and the worker's sixty days run from the day they expire.</w:t>
            </w:r>
          </w:p>
        </w:tc>
      </w:tr>
      <w:tr>
        <w:tc>
          <w:tcPr>
            <w:tcW w:type="dxa" w:w="576"/>
          </w:tcPr>
          <w:p>
            <w:pPr>
              <w:spacing w:after="40"/>
            </w:pPr>
            <w:r/>
            <w:r>
              <w:rPr>
                <w:rFonts w:ascii="Calibri" w:hAnsi="Calibri"/>
                <w:color w:val="565656"/>
                <w:sz w:val="18"/>
              </w:rPr>
              <w:t>06</w:t>
            </w:r>
          </w:p>
        </w:tc>
        <w:tc>
          <w:tcPr>
            <w:tcW w:type="dxa" w:w="3024"/>
          </w:tcPr>
          <w:p>
            <w:pPr>
              <w:spacing w:after="40"/>
            </w:pPr>
            <w:r/>
            <w:r>
              <w:rPr>
                <w:rFonts w:ascii="Calibri" w:hAnsi="Calibri"/>
                <w:color w:val="565656"/>
                <w:sz w:val="18"/>
              </w:rPr>
              <w:t>Notice of hearing to the worker</w:t>
            </w:r>
          </w:p>
        </w:tc>
        <w:tc>
          <w:tcPr>
            <w:tcW w:type="dxa" w:w="6336"/>
          </w:tcPr>
          <w:p>
            <w:pPr>
              <w:spacing w:after="40"/>
            </w:pPr>
            <w:r/>
            <w:r>
              <w:rPr>
                <w:rFonts w:ascii="Calibri" w:hAnsi="Calibri"/>
                <w:color w:val="565656"/>
                <w:sz w:val="18"/>
              </w:rPr>
              <w:t>Section 4 prescribes no procedure, so the pack supplies an ordinary fair hearing and says that is a choice, not a requirement.</w:t>
            </w:r>
          </w:p>
        </w:tc>
      </w:tr>
      <w:tr>
        <w:tc>
          <w:tcPr>
            <w:tcW w:type="dxa" w:w="576"/>
          </w:tcPr>
          <w:p>
            <w:pPr>
              <w:spacing w:after="40"/>
            </w:pPr>
            <w:r/>
            <w:r>
              <w:rPr>
                <w:rFonts w:ascii="Calibri" w:hAnsi="Calibri"/>
                <w:color w:val="565656"/>
                <w:sz w:val="18"/>
              </w:rPr>
              <w:t>07</w:t>
            </w:r>
          </w:p>
        </w:tc>
        <w:tc>
          <w:tcPr>
            <w:tcW w:type="dxa" w:w="3024"/>
          </w:tcPr>
          <w:p>
            <w:pPr>
              <w:spacing w:after="40"/>
            </w:pPr>
            <w:r/>
            <w:r>
              <w:rPr>
                <w:rFonts w:ascii="Calibri" w:hAnsi="Calibri"/>
                <w:color w:val="565656"/>
                <w:sz w:val="18"/>
              </w:rPr>
              <w:t>Minutes and decision of the committee</w:t>
            </w:r>
          </w:p>
        </w:tc>
        <w:tc>
          <w:tcPr>
            <w:tcW w:type="dxa" w:w="6336"/>
          </w:tcPr>
          <w:p>
            <w:pPr>
              <w:spacing w:after="40"/>
            </w:pPr>
            <w:r/>
            <w:r>
              <w:rPr>
                <w:rFonts w:ascii="Calibri" w:hAnsi="Calibri"/>
                <w:color w:val="565656"/>
                <w:sz w:val="18"/>
              </w:rPr>
              <w:t>Records the majority AND, separately, that more than half of the worker representatives agreed. Without the second, s.4(7) says there is no decision at all.</w:t>
            </w:r>
          </w:p>
        </w:tc>
      </w:tr>
      <w:tr>
        <w:tc>
          <w:tcPr>
            <w:tcW w:type="dxa" w:w="576"/>
          </w:tcPr>
          <w:p>
            <w:pPr>
              <w:spacing w:after="40"/>
            </w:pPr>
            <w:r/>
            <w:r>
              <w:rPr>
                <w:rFonts w:ascii="Calibri" w:hAnsi="Calibri"/>
                <w:color w:val="565656"/>
                <w:sz w:val="18"/>
              </w:rPr>
              <w:t>08</w:t>
            </w:r>
          </w:p>
        </w:tc>
        <w:tc>
          <w:tcPr>
            <w:tcW w:type="dxa" w:w="3024"/>
          </w:tcPr>
          <w:p>
            <w:pPr>
              <w:spacing w:after="40"/>
            </w:pPr>
            <w:r/>
            <w:r>
              <w:rPr>
                <w:rFonts w:ascii="Calibri" w:hAnsi="Calibri"/>
                <w:color w:val="565656"/>
                <w:sz w:val="18"/>
              </w:rPr>
              <w:t>Communication of the decision to the worker</w:t>
            </w:r>
          </w:p>
        </w:tc>
        <w:tc>
          <w:tcPr>
            <w:tcW w:type="dxa" w:w="6336"/>
          </w:tcPr>
          <w:p>
            <w:pPr>
              <w:spacing w:after="40"/>
            </w:pPr>
            <w:r/>
            <w:r>
              <w:rPr>
                <w:rFonts w:ascii="Calibri" w:hAnsi="Calibri"/>
                <w:color w:val="565656"/>
                <w:sz w:val="18"/>
              </w:rPr>
              <w:t>Carries the sixty day escalation route, in the worker's own copy, because s.4(8) gives them that right whether or not anyone mentions it.</w:t>
            </w:r>
          </w:p>
        </w:tc>
      </w:tr>
      <w:tr>
        <w:tc>
          <w:tcPr>
            <w:tcW w:type="dxa" w:w="576"/>
          </w:tcPr>
          <w:p>
            <w:pPr>
              <w:spacing w:after="40"/>
            </w:pPr>
            <w:r/>
            <w:r>
              <w:rPr>
                <w:rFonts w:ascii="Calibri" w:hAnsi="Calibri"/>
                <w:color w:val="565656"/>
                <w:sz w:val="18"/>
              </w:rPr>
              <w:t>09</w:t>
            </w:r>
          </w:p>
        </w:tc>
        <w:tc>
          <w:tcPr>
            <w:tcW w:type="dxa" w:w="3024"/>
          </w:tcPr>
          <w:p>
            <w:pPr>
              <w:spacing w:after="40"/>
            </w:pPr>
            <w:r/>
            <w:r>
              <w:rPr>
                <w:rFonts w:ascii="Calibri" w:hAnsi="Calibri"/>
                <w:color w:val="565656"/>
                <w:sz w:val="18"/>
              </w:rPr>
              <w:t>Grievance register</w:t>
            </w:r>
          </w:p>
        </w:tc>
        <w:tc>
          <w:tcPr>
            <w:tcW w:type="dxa" w:w="6336"/>
          </w:tcPr>
          <w:p>
            <w:pPr>
              <w:spacing w:after="40"/>
            </w:pPr>
            <w:r/>
            <w:r>
              <w:rPr>
                <w:rFonts w:ascii="Calibri" w:hAnsi="Calibri"/>
                <w:color w:val="565656"/>
                <w:sz w:val="18"/>
              </w:rPr>
              <w:t>One row per application, with the dates that decide every later deadline. This is the document an inspector asks for.</w:t>
            </w:r>
          </w:p>
        </w:tc>
      </w:tr>
      <w:tr>
        <w:tc>
          <w:tcPr>
            <w:tcW w:type="dxa" w:w="576"/>
          </w:tcPr>
          <w:p>
            <w:pPr>
              <w:spacing w:after="40"/>
            </w:pPr>
            <w:r/>
            <w:r>
              <w:rPr>
                <w:rFonts w:ascii="Calibri" w:hAnsi="Calibri"/>
                <w:color w:val="565656"/>
                <w:sz w:val="18"/>
              </w:rPr>
              <w:t>10</w:t>
            </w:r>
          </w:p>
        </w:tc>
        <w:tc>
          <w:tcPr>
            <w:tcW w:type="dxa" w:w="3024"/>
          </w:tcPr>
          <w:p>
            <w:pPr>
              <w:spacing w:after="40"/>
            </w:pPr>
            <w:r/>
            <w:r>
              <w:rPr>
                <w:rFonts w:ascii="Calibri" w:hAnsi="Calibri"/>
                <w:color w:val="565656"/>
                <w:sz w:val="18"/>
              </w:rPr>
              <w:t>Chairperson rotation record</w:t>
            </w:r>
          </w:p>
        </w:tc>
        <w:tc>
          <w:tcPr>
            <w:tcW w:type="dxa" w:w="6336"/>
          </w:tcPr>
          <w:p>
            <w:pPr>
              <w:spacing w:after="40"/>
            </w:pPr>
            <w:r/>
            <w:r>
              <w:rPr>
                <w:rFonts w:ascii="Calibri" w:hAnsi="Calibri"/>
                <w:color w:val="565656"/>
                <w:sz w:val="18"/>
              </w:rPr>
              <w:t>Section 4(3) alternates the chair between the two sides every year. A committee that never rotated is not constituted as the Code requires.</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Square brackets mark everything you replace. Dates are DD-MMM-YYYY throughout.</w:t>
      </w:r>
    </w:p>
    <w:p>
      <w:r>
        <w:br w:type="page"/>
      </w:r>
    </w:p>
    <w:p>
      <w:pPr>
        <w:pStyle w:val="Heading1"/>
        <w:keepNext/>
        <w:spacing w:after="200" w:before="80"/>
        <w:ind w:left="115"/>
        <w:shd w:val="clear" w:fill="008CDB"/>
      </w:pPr>
      <w:r>
        <w:rPr>
          <w:rFonts w:ascii="Calibri" w:hAnsi="Calibri"/>
          <w:b/>
          <w:color w:val="FFFFFF"/>
          <w:sz w:val="22"/>
        </w:rPr>
        <w:t>6  ·  THE FORMATS</w:t>
      </w:r>
    </w:p>
    <w:p>
      <w:pPr>
        <w:keepNext w:val="0"/>
        <w:spacing w:after="200" w:before="0"/>
      </w:pPr>
      <w:r>
        <w:rPr>
          <w:rFonts w:ascii="Calibri" w:hAnsi="Calibri"/>
          <w:b w:val="0"/>
          <w:i w:val="0"/>
          <w:color w:val="1D1D1D"/>
          <w:sz w:val="21"/>
        </w:rPr>
        <w:t>Ten documents. One per page, from the policy you adopt once to the register you keep for ever.</w:t>
      </w:r>
    </w:p>
    <w:p>
      <w:r>
        <w:br w:type="page"/>
      </w:r>
    </w:p>
    <w:p>
      <w:pPr>
        <w:pStyle w:val="Heading1"/>
        <w:keepNext/>
        <w:spacing w:after="200" w:before="80"/>
        <w:ind w:left="115"/>
        <w:shd w:val="clear" w:fill="0069A4"/>
      </w:pPr>
      <w:r>
        <w:rPr>
          <w:rFonts w:ascii="Calibri" w:hAnsi="Calibri"/>
          <w:b/>
          <w:color w:val="FFFFFF"/>
          <w:sz w:val="20"/>
        </w:rPr>
        <w:t>FORMAT 01  ·  GRIEVANCE REDRESSAL POLICY</w:t>
      </w:r>
    </w:p>
    <w:p>
      <w:pPr>
        <w:keepNext w:val="0"/>
        <w:spacing w:after="160" w:before="0"/>
        <w:ind w:left="144"/>
        <w:shd w:val="clear" w:fill="F4FAFE"/>
      </w:pPr>
      <w:r>
        <w:rPr>
          <w:rFonts w:ascii="Calibri" w:hAnsi="Calibri"/>
          <w:b w:val="0"/>
          <w:i/>
          <w:color w:val="565656"/>
          <w:sz w:val="18"/>
        </w:rPr>
        <w:t>The standing document. Adopt it once, make it known to every worker, and it answers most of what section 4 and rules 6 to 8 require.</w:t>
      </w:r>
    </w:p>
    <w:p>
      <w:pPr>
        <w:keepNext w:val="0"/>
        <w:spacing w:after="80" w:before="0"/>
      </w:pPr>
      <w:r>
        <w:rPr>
          <w:rFonts w:ascii="Calibri" w:hAnsi="Calibri"/>
          <w:b/>
          <w:i w:val="0"/>
          <w:color w:val="1D1D1D"/>
          <w:sz w:val="26"/>
        </w:rPr>
        <w:t>GRIEVANCE REDRESSAL POLICY</w:t>
      </w:r>
    </w:p>
    <w:p>
      <w:pPr>
        <w:keepNext w:val="0"/>
        <w:spacing w:after="200" w:before="0"/>
      </w:pPr>
      <w:r>
        <w:rPr>
          <w:rFonts w:ascii="Calibri" w:hAnsi="Calibri"/>
          <w:b w:val="0"/>
          <w:i w:val="0"/>
          <w:color w:val="565656"/>
          <w:sz w:val="19"/>
        </w:rPr>
        <w:t>[COMPANY NAME]  ·  Adopted on [DD-MMM-YYYY]</w:t>
      </w:r>
    </w:p>
    <w:p>
      <w:pPr>
        <w:keepNext w:val="0"/>
        <w:spacing w:after="100" w:before="0"/>
      </w:pPr>
      <w:r>
        <w:rPr>
          <w:rFonts w:ascii="Calibri" w:hAnsi="Calibri"/>
          <w:b w:val="0"/>
          <w:i w:val="0"/>
          <w:color w:val="1D1D1D"/>
          <w:sz w:val="20"/>
        </w:rPr>
        <w:t>1.  Purpose. This policy sets out how [COMPANY NAME] receives and resolves individual grievances of its workers, as required by section 4 of the Industrial Relations Code, 2020.</w:t>
      </w:r>
    </w:p>
    <w:p>
      <w:pPr>
        <w:keepNext w:val="0"/>
        <w:spacing w:after="100" w:before="0"/>
      </w:pPr>
      <w:r>
        <w:rPr>
          <w:rFonts w:ascii="Calibri" w:hAnsi="Calibri"/>
          <w:b w:val="0"/>
          <w:i w:val="0"/>
          <w:color w:val="1D1D1D"/>
          <w:sz w:val="20"/>
        </w:rPr>
        <w:t>2.  Who it covers. Every worker of the establishment within the meaning of section 2(zr) of the Code. The establishment employs [NUMBER] workers as on [DD-MMM-YYYY].</w:t>
      </w:r>
    </w:p>
    <w:p>
      <w:pPr>
        <w:keepNext w:val="0"/>
        <w:spacing w:after="100" w:before="0"/>
      </w:pPr>
      <w:r>
        <w:rPr>
          <w:rFonts w:ascii="Calibri" w:hAnsi="Calibri"/>
          <w:b w:val="0"/>
          <w:i w:val="0"/>
          <w:color w:val="1D1D1D"/>
          <w:sz w:val="20"/>
        </w:rPr>
        <w:t>3.  The Committee. The company has constituted a Grievance Redressal Committee of [NUMBER] members, [NUMBER] representing the employer and [NUMBER] representing the workers, of whom [NUMBER] are women. The total does not exceed ten.</w:t>
      </w:r>
    </w:p>
    <w:p>
      <w:pPr>
        <w:keepNext w:val="0"/>
        <w:spacing w:after="100" w:before="0"/>
      </w:pPr>
      <w:r>
        <w:rPr>
          <w:rFonts w:ascii="Calibri" w:hAnsi="Calibri"/>
          <w:b w:val="0"/>
          <w:i w:val="0"/>
          <w:color w:val="1D1D1D"/>
          <w:sz w:val="20"/>
        </w:rPr>
        <w:t>4.  Chairperson. The chairperson is selected from among the employer representatives and the worker representatives alternately, on a rotational basis, every year.</w:t>
      </w:r>
    </w:p>
    <w:p>
      <w:pPr>
        <w:keepNext w:val="0"/>
        <w:spacing w:after="100" w:before="0"/>
      </w:pPr>
      <w:r>
        <w:rPr>
          <w:rFonts w:ascii="Calibri" w:hAnsi="Calibri"/>
          <w:b w:val="0"/>
          <w:i w:val="0"/>
          <w:color w:val="1D1D1D"/>
          <w:sz w:val="20"/>
        </w:rPr>
        <w:t>5.  Term. Members hold office for three years.</w:t>
      </w:r>
    </w:p>
    <w:p>
      <w:pPr>
        <w:keepNext w:val="0"/>
        <w:spacing w:after="100" w:before="0"/>
      </w:pPr>
      <w:r>
        <w:rPr>
          <w:rFonts w:ascii="Calibri" w:hAnsi="Calibri"/>
          <w:b w:val="0"/>
          <w:i w:val="0"/>
          <w:color w:val="1D1D1D"/>
          <w:sz w:val="20"/>
        </w:rPr>
        <w:t>6.  What is a grievance. Any individual grievance of a worker arising out of their employment, including pay, working conditions, leave, transfer, treatment by a supervisor, or any other matter affecting that worker individually.</w:t>
      </w:r>
    </w:p>
    <w:p>
      <w:pPr>
        <w:keepNext w:val="0"/>
        <w:spacing w:after="100" w:before="0"/>
      </w:pPr>
      <w:r>
        <w:rPr>
          <w:rFonts w:ascii="Calibri" w:hAnsi="Calibri"/>
          <w:b w:val="0"/>
          <w:i w:val="0"/>
          <w:color w:val="1D1D1D"/>
          <w:sz w:val="20"/>
        </w:rPr>
        <w:t>7.  How to apply. A worker may apply to the Committee in Format 04 of this pack, or in any writing carrying the same particulars, and may send it electronically or otherwise. No fee is payable.</w:t>
      </w:r>
    </w:p>
    <w:p>
      <w:pPr>
        <w:keepNext w:val="0"/>
        <w:spacing w:after="100" w:before="0"/>
      </w:pPr>
      <w:r>
        <w:rPr>
          <w:rFonts w:ascii="Calibri" w:hAnsi="Calibri"/>
          <w:b w:val="0"/>
          <w:i w:val="0"/>
          <w:color w:val="1D1D1D"/>
          <w:sz w:val="20"/>
        </w:rPr>
        <w:t>8.  Time to apply. Within one year from the date on which the cause of action arose.</w:t>
      </w:r>
    </w:p>
    <w:p>
      <w:pPr>
        <w:keepNext w:val="0"/>
        <w:spacing w:after="100" w:before="0"/>
      </w:pPr>
      <w:r>
        <w:rPr>
          <w:rFonts w:ascii="Calibri" w:hAnsi="Calibri"/>
          <w:b w:val="0"/>
          <w:i w:val="0"/>
          <w:color w:val="1D1D1D"/>
          <w:sz w:val="20"/>
        </w:rPr>
        <w:t>9.  Acknowledgement. Every application is acknowledged in writing, carrying the date of receipt.</w:t>
      </w:r>
    </w:p>
    <w:p>
      <w:pPr>
        <w:keepNext w:val="0"/>
        <w:spacing w:after="100" w:before="0"/>
      </w:pPr>
      <w:r>
        <w:rPr>
          <w:rFonts w:ascii="Calibri" w:hAnsi="Calibri"/>
          <w:b w:val="0"/>
          <w:i w:val="0"/>
          <w:color w:val="1D1D1D"/>
          <w:sz w:val="20"/>
        </w:rPr>
        <w:t>10. Hearing. The Committee gives the worker an opportunity to be heard before it decides. The Code prescribes no procedure, and this is the company's own commitment.</w:t>
      </w:r>
    </w:p>
    <w:p>
      <w:pPr>
        <w:keepNext w:val="0"/>
        <w:spacing w:after="100" w:before="0"/>
      </w:pPr>
      <w:r>
        <w:rPr>
          <w:rFonts w:ascii="Calibri" w:hAnsi="Calibri"/>
          <w:b w:val="0"/>
          <w:i w:val="0"/>
          <w:color w:val="1D1D1D"/>
          <w:sz w:val="20"/>
        </w:rPr>
        <w:t>11. Time to decide. The Committee endeavours to complete its proceedings within thirty days of receiving the application.</w:t>
      </w:r>
    </w:p>
    <w:p>
      <w:pPr>
        <w:keepNext w:val="0"/>
        <w:spacing w:after="100" w:before="0"/>
      </w:pPr>
      <w:r>
        <w:rPr>
          <w:rFonts w:ascii="Calibri" w:hAnsi="Calibri"/>
          <w:b w:val="0"/>
          <w:i w:val="0"/>
          <w:color w:val="1D1D1D"/>
          <w:sz w:val="20"/>
        </w:rPr>
        <w:t>12. How it decides. By a majority of the members present, provided that more than half of the members representing the workers have agreed. Where they have not, there is deemed to be no decision.</w:t>
      </w:r>
    </w:p>
    <w:p>
      <w:pPr>
        <w:keepNext w:val="0"/>
        <w:spacing w:after="100" w:before="0"/>
      </w:pPr>
      <w:r>
        <w:rPr>
          <w:rFonts w:ascii="Calibri" w:hAnsi="Calibri"/>
          <w:b w:val="0"/>
          <w:i w:val="0"/>
          <w:color w:val="1D1D1D"/>
          <w:sz w:val="20"/>
        </w:rPr>
        <w:t>13. The decision. Communicated to the worker in writing, with reasons, and a copy placed on the register.</w:t>
      </w:r>
    </w:p>
    <w:p>
      <w:pPr>
        <w:keepNext w:val="0"/>
        <w:spacing w:after="100" w:before="0"/>
      </w:pPr>
      <w:r>
        <w:rPr>
          <w:rFonts w:ascii="Calibri" w:hAnsi="Calibri"/>
          <w:b w:val="0"/>
          <w:i w:val="0"/>
          <w:color w:val="1D1D1D"/>
          <w:sz w:val="20"/>
        </w:rPr>
        <w:t>14. If the worker is not satisfied. A worker aggrieved by the decision, or whose grievance is not resolved within thirty days, may apply to the conciliation officer within sixty days, online on the portal of the Ministry of Labour and Employment, by speed post or in person. The company will not obstruct that application.</w:t>
      </w:r>
    </w:p>
    <w:p>
      <w:pPr>
        <w:keepNext w:val="0"/>
        <w:spacing w:after="100" w:before="0"/>
      </w:pPr>
      <w:r>
        <w:rPr>
          <w:rFonts w:ascii="Calibri" w:hAnsi="Calibri"/>
          <w:b w:val="0"/>
          <w:i w:val="0"/>
          <w:color w:val="1D1D1D"/>
          <w:sz w:val="20"/>
        </w:rPr>
        <w:t>15. No retaliation. No worker suffers any disadvantage for having raised a grievance in good faith.</w:t>
      </w:r>
    </w:p>
    <w:p>
      <w:pPr>
        <w:keepNext w:val="0"/>
        <w:spacing w:after="100" w:before="0"/>
      </w:pPr>
      <w:r>
        <w:rPr>
          <w:rFonts w:ascii="Calibri" w:hAnsi="Calibri"/>
          <w:b w:val="0"/>
          <w:i w:val="0"/>
          <w:color w:val="1D1D1D"/>
          <w:sz w:val="20"/>
        </w:rPr>
        <w:t>16. Records. The company maintains a grievance register and retains each application, acknowledgement, minute and decision.</w:t>
      </w:r>
    </w:p>
    <w:p>
      <w:pPr>
        <w:keepNext w:val="0"/>
        <w:spacing w:after="100" w:before="0"/>
      </w:pPr>
      <w:r>
        <w:rPr>
          <w:rFonts w:ascii="Calibri" w:hAnsi="Calibri"/>
          <w:b w:val="0"/>
          <w:i w:val="0"/>
          <w:color w:val="1D1D1D"/>
          <w:sz w:val="20"/>
        </w:rPr>
        <w:t>17. This policy is made known to every worker and is available on the company's human resource portal and notice board.</w:t>
      </w:r>
    </w:p>
    <w:p>
      <w:pPr>
        <w:keepNext w:val="0"/>
        <w:spacing w:after="160" w:before="0"/>
      </w:pPr>
      <w:r>
        <w:rPr>
          <w:rFonts w:ascii="Calibri" w:hAnsi="Calibri"/>
          <w:b w:val="0"/>
          <w:i w:val="0"/>
          <w:color w:val="1D1D1D"/>
          <w:sz w:val="21"/>
        </w:rPr>
      </w:r>
    </w:p>
    <w:p>
      <w:pPr>
        <w:keepNext w:val="0"/>
        <w:spacing w:after="80" w:before="0"/>
      </w:pPr>
      <w:r>
        <w:rPr>
          <w:rFonts w:ascii="Calibri" w:hAnsi="Calibri"/>
          <w:b w:val="0"/>
          <w:i w:val="0"/>
          <w:color w:val="1D1D1D"/>
          <w:sz w:val="19"/>
        </w:rPr>
        <w:t>Approved by: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02  ·  RESOLUTION CONSTITUTING THE GRIEVANCE REDRESSAL COMMITTEE</w:t>
      </w:r>
    </w:p>
    <w:p>
      <w:pPr>
        <w:keepNext w:val="0"/>
        <w:spacing w:after="160" w:before="0"/>
        <w:ind w:left="144"/>
        <w:shd w:val="clear" w:fill="F4FAFE"/>
      </w:pPr>
      <w:r>
        <w:rPr>
          <w:rFonts w:ascii="Calibri" w:hAnsi="Calibri"/>
          <w:b w:val="0"/>
          <w:i/>
          <w:color w:val="565656"/>
          <w:sz w:val="18"/>
        </w:rPr>
        <w:t>The minute that actually creates the committee, with the equal numbers, the women proportion and the three year term on the record.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200" w:before="0"/>
      </w:pPr>
      <w:r>
        <w:rPr>
          <w:rFonts w:ascii="Calibri" w:hAnsi="Calibri"/>
          <w:b/>
          <w:i w:val="0"/>
          <w:color w:val="1D1D1D"/>
          <w:sz w:val="20"/>
        </w:rPr>
        <w:t>EXTRACT FROM THE MINUTES OF THE MEETING OF [THE BOARD OF DIRECTORS / THE MANAGEMENT COMMITTEE] OF [COMPANY NAME] HELD ON [DD-MMM-YYYY] AT [PLACE]</w:t>
      </w:r>
    </w:p>
    <w:p>
      <w:pPr>
        <w:keepNext w:val="0"/>
        <w:spacing w:after="120" w:before="0"/>
      </w:pPr>
      <w:r>
        <w:rPr>
          <w:rFonts w:ascii="Calibri" w:hAnsi="Calibri"/>
          <w:b w:val="0"/>
          <w:i w:val="0"/>
          <w:color w:val="1D1D1D"/>
          <w:sz w:val="20"/>
        </w:rPr>
        <w:t>The meeting noted that the establishment employs [NUMBER] workers within the meaning of section 2(zr) of the Industrial Relations Code, 2020, counted as on [DD-MMM-YYYY], and that section 4(1) of the Code therefore requires the establishment to have a Grievance Redressal Committee.</w:t>
      </w:r>
    </w:p>
    <w:p>
      <w:pPr>
        <w:keepNext w:val="0"/>
        <w:spacing w:after="120" w:before="0"/>
      </w:pPr>
      <w:r>
        <w:rPr>
          <w:rFonts w:ascii="Calibri" w:hAnsi="Calibri"/>
          <w:b w:val="0"/>
          <w:i w:val="0"/>
          <w:color w:val="1D1D1D"/>
          <w:sz w:val="20"/>
        </w:rPr>
        <w:t>The meeting further noted that of those [NUMBER] workers, [NUMBER] are women, being [NUMBER] per cent of the total, and that the proviso to section 4(4) requires representation of women on the Committee of not less than that proportion.</w:t>
      </w:r>
    </w:p>
    <w:p>
      <w:pPr>
        <w:keepNext w:val="0"/>
        <w:spacing w:after="120" w:before="0"/>
      </w:pPr>
      <w:r>
        <w:rPr>
          <w:rFonts w:ascii="Calibri" w:hAnsi="Calibri"/>
          <w:b w:val="0"/>
          <w:i w:val="0"/>
          <w:color w:val="1D1D1D"/>
          <w:sz w:val="20"/>
        </w:rPr>
        <w:t>RESOLVED that a Grievance Redressal Committee be and is hereby constituted with effect from [DD-MMM-YYYY], consisting of [NUMBER] members in all, being [NUMBER] representatives of the employer and an equal number of representatives of the workers, the total not exceeding ten.</w:t>
      </w:r>
    </w:p>
    <w:p>
      <w:pPr>
        <w:keepNext w:val="0"/>
        <w:spacing w:after="120" w:before="0"/>
      </w:pPr>
      <w:r>
        <w:rPr>
          <w:rFonts w:ascii="Calibri" w:hAnsi="Calibri"/>
          <w:b w:val="0"/>
          <w:i w:val="0"/>
          <w:color w:val="1D1D1D"/>
          <w:sz w:val="20"/>
        </w:rPr>
        <w:t>RESOLVED FURTHER that the following persons be the representatives of the employer, being officials in direct touch with the working of the establishment:</w:t>
      </w:r>
    </w:p>
    <w:tbl>
      <w:tblPr>
        <w:tblStyle w:val="TableGrid"/>
        <w:tblW w:type="auto" w:w="0"/>
        <w:tblLook w:firstColumn="1" w:firstRow="1" w:lastColumn="0" w:lastRow="0" w:noHBand="0" w:noVBand="1" w:val="04A0"/>
      </w:tblPr>
      <w:tblGrid>
        <w:gridCol w:w="2412"/>
        <w:gridCol w:w="2412"/>
        <w:gridCol w:w="2412"/>
        <w:gridCol w:w="2412"/>
      </w:tblGrid>
      <w:tr>
        <w:tc>
          <w:tcPr>
            <w:tcW w:type="dxa" w:w="576"/>
          </w:tcPr>
          <w:p>
            <w:pPr>
              <w:spacing w:after="40"/>
              <w:shd w:val="clear" w:fill="E8F4FC"/>
            </w:pPr>
            <w:r/>
            <w:r>
              <w:rPr>
                <w:rFonts w:ascii="Calibri" w:hAnsi="Calibri"/>
                <w:b/>
                <w:color w:val="0069A4"/>
                <w:sz w:val="18"/>
              </w:rPr>
              <w:t>#</w:t>
            </w:r>
          </w:p>
        </w:tc>
        <w:tc>
          <w:tcPr>
            <w:tcW w:type="dxa" w:w="3024"/>
          </w:tcPr>
          <w:p>
            <w:pPr>
              <w:spacing w:after="40"/>
              <w:shd w:val="clear" w:fill="E8F4FC"/>
            </w:pPr>
            <w:r/>
            <w:r>
              <w:rPr>
                <w:rFonts w:ascii="Calibri" w:hAnsi="Calibri"/>
                <w:b/>
                <w:color w:val="0069A4"/>
                <w:sz w:val="18"/>
              </w:rPr>
              <w:t>Name</w:t>
            </w:r>
          </w:p>
        </w:tc>
        <w:tc>
          <w:tcPr>
            <w:tcW w:type="dxa" w:w="3024"/>
          </w:tcPr>
          <w:p>
            <w:pPr>
              <w:spacing w:after="40"/>
              <w:shd w:val="clear" w:fill="E8F4FC"/>
            </w:pPr>
            <w:r/>
            <w:r>
              <w:rPr>
                <w:rFonts w:ascii="Calibri" w:hAnsi="Calibri"/>
                <w:b/>
                <w:color w:val="0069A4"/>
                <w:sz w:val="18"/>
              </w:rPr>
              <w:t>Designation</w:t>
            </w:r>
          </w:p>
        </w:tc>
        <w:tc>
          <w:tcPr>
            <w:tcW w:type="dxa" w:w="2592"/>
          </w:tcPr>
          <w:p>
            <w:pPr>
              <w:spacing w:after="40"/>
              <w:shd w:val="clear" w:fill="E8F4FC"/>
            </w:pPr>
            <w:r/>
            <w:r>
              <w:rPr>
                <w:rFonts w:ascii="Calibri" w:hAnsi="Calibri"/>
                <w:b/>
                <w:color w:val="0069A4"/>
                <w:sz w:val="18"/>
              </w:rPr>
              <w:t>Department</w:t>
            </w:r>
          </w:p>
        </w:tc>
      </w:tr>
      <w:tr>
        <w:tc>
          <w:tcPr>
            <w:tcW w:type="dxa" w:w="576"/>
          </w:tcPr>
          <w:p>
            <w:pPr>
              <w:spacing w:after="40"/>
            </w:pPr>
            <w:r/>
            <w:r>
              <w:rPr>
                <w:rFonts w:ascii="Calibri" w:hAnsi="Calibri"/>
                <w:color w:val="565656"/>
                <w:sz w:val="18"/>
              </w:rPr>
              <w:t>1</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[DEPARTMENT]</w:t>
            </w:r>
          </w:p>
        </w:tc>
      </w:tr>
      <w:tr>
        <w:tc>
          <w:tcPr>
            <w:tcW w:type="dxa" w:w="576"/>
          </w:tcPr>
          <w:p>
            <w:pPr>
              <w:spacing w:after="40"/>
            </w:pPr>
            <w:r/>
            <w:r>
              <w:rPr>
                <w:rFonts w:ascii="Calibri" w:hAnsi="Calibri"/>
                <w:color w:val="565656"/>
                <w:sz w:val="18"/>
              </w:rPr>
              <w:t>2</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[DEPARTMENT]</w:t>
            </w:r>
          </w:p>
        </w:tc>
      </w:tr>
      <w:tr>
        <w:tc>
          <w:tcPr>
            <w:tcW w:type="dxa" w:w="576"/>
          </w:tcPr>
          <w:p>
            <w:pPr>
              <w:spacing w:after="40"/>
            </w:pPr>
            <w:r/>
            <w:r>
              <w:rPr>
                <w:rFonts w:ascii="Calibri" w:hAnsi="Calibri"/>
                <w:color w:val="565656"/>
                <w:sz w:val="18"/>
              </w:rPr>
              <w:t>3</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[DEPARTMENT]</w:t>
            </w:r>
          </w:p>
        </w:tc>
      </w:tr>
      <w:tr>
        <w:tc>
          <w:tcPr>
            <w:tcW w:type="dxa" w:w="576"/>
          </w:tcPr>
          <w:p>
            <w:pPr>
              <w:spacing w:after="40"/>
            </w:pPr>
            <w:r/>
            <w:r>
              <w:rPr>
                <w:rFonts w:ascii="Calibri" w:hAnsi="Calibri"/>
                <w:color w:val="565656"/>
                <w:sz w:val="18"/>
              </w:rPr>
              <w:t>4</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[DEPARTMENT]</w:t>
            </w:r>
          </w:p>
        </w:tc>
      </w:tr>
      <w:tr>
        <w:tc>
          <w:tcPr>
            <w:tcW w:type="dxa" w:w="576"/>
          </w:tcPr>
          <w:p>
            <w:pPr>
              <w:spacing w:after="40"/>
            </w:pPr>
            <w:r/>
            <w:r>
              <w:rPr>
                <w:rFonts w:ascii="Calibri" w:hAnsi="Calibri"/>
                <w:color w:val="565656"/>
                <w:sz w:val="18"/>
              </w:rPr>
              <w:t>5</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[DEPARTMENT]</w:t>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RESOLVED FURTHER that the following persons, chosen [by the negotiating union / by the negotiating council in proportion to its constituent unions / by the workers from amongst themselves on [DD-MMM-YYYY]], be the representatives of the workers:</w:t>
      </w:r>
    </w:p>
    <w:tbl>
      <w:tblPr>
        <w:tblStyle w:val="TableGrid"/>
        <w:tblW w:type="auto" w:w="0"/>
        <w:tblLook w:firstColumn="1" w:firstRow="1" w:lastColumn="0" w:lastRow="0" w:noHBand="0" w:noVBand="1" w:val="04A0"/>
      </w:tblPr>
      <w:tblGrid>
        <w:gridCol w:w="2412"/>
        <w:gridCol w:w="2412"/>
        <w:gridCol w:w="2412"/>
        <w:gridCol w:w="2412"/>
      </w:tblGrid>
      <w:tr>
        <w:tc>
          <w:tcPr>
            <w:tcW w:type="dxa" w:w="576"/>
          </w:tcPr>
          <w:p>
            <w:pPr>
              <w:spacing w:after="40"/>
              <w:shd w:val="clear" w:fill="E8F4FC"/>
            </w:pPr>
            <w:r/>
            <w:r>
              <w:rPr>
                <w:rFonts w:ascii="Calibri" w:hAnsi="Calibri"/>
                <w:b/>
                <w:color w:val="0069A4"/>
                <w:sz w:val="18"/>
              </w:rPr>
              <w:t>#</w:t>
            </w:r>
          </w:p>
        </w:tc>
        <w:tc>
          <w:tcPr>
            <w:tcW w:type="dxa" w:w="3024"/>
          </w:tcPr>
          <w:p>
            <w:pPr>
              <w:spacing w:after="40"/>
              <w:shd w:val="clear" w:fill="E8F4FC"/>
            </w:pPr>
            <w:r/>
            <w:r>
              <w:rPr>
                <w:rFonts w:ascii="Calibri" w:hAnsi="Calibri"/>
                <w:b/>
                <w:color w:val="0069A4"/>
                <w:sz w:val="18"/>
              </w:rPr>
              <w:t>Name</w:t>
            </w:r>
          </w:p>
        </w:tc>
        <w:tc>
          <w:tcPr>
            <w:tcW w:type="dxa" w:w="3024"/>
          </w:tcPr>
          <w:p>
            <w:pPr>
              <w:spacing w:after="40"/>
              <w:shd w:val="clear" w:fill="E8F4FC"/>
            </w:pPr>
            <w:r/>
            <w:r>
              <w:rPr>
                <w:rFonts w:ascii="Calibri" w:hAnsi="Calibri"/>
                <w:b/>
                <w:color w:val="0069A4"/>
                <w:sz w:val="18"/>
              </w:rPr>
              <w:t>Designation</w:t>
            </w:r>
          </w:p>
        </w:tc>
        <w:tc>
          <w:tcPr>
            <w:tcW w:type="dxa" w:w="2592"/>
          </w:tcPr>
          <w:p>
            <w:pPr>
              <w:spacing w:after="40"/>
              <w:shd w:val="clear" w:fill="E8F4FC"/>
            </w:pPr>
            <w:r/>
            <w:r>
              <w:rPr>
                <w:rFonts w:ascii="Calibri" w:hAnsi="Calibri"/>
                <w:b/>
                <w:color w:val="0069A4"/>
                <w:sz w:val="18"/>
              </w:rPr>
              <w:t>How chosen</w:t>
            </w:r>
          </w:p>
        </w:tc>
      </w:tr>
      <w:tr>
        <w:tc>
          <w:tcPr>
            <w:tcW w:type="dxa" w:w="576"/>
          </w:tcPr>
          <w:p>
            <w:pPr>
              <w:spacing w:after="40"/>
            </w:pPr>
            <w:r/>
            <w:r>
              <w:rPr>
                <w:rFonts w:ascii="Calibri" w:hAnsi="Calibri"/>
                <w:color w:val="565656"/>
                <w:sz w:val="18"/>
              </w:rPr>
              <w:t>1</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[METHOD]</w:t>
            </w:r>
          </w:p>
        </w:tc>
      </w:tr>
      <w:tr>
        <w:tc>
          <w:tcPr>
            <w:tcW w:type="dxa" w:w="576"/>
          </w:tcPr>
          <w:p>
            <w:pPr>
              <w:spacing w:after="40"/>
            </w:pPr>
            <w:r/>
            <w:r>
              <w:rPr>
                <w:rFonts w:ascii="Calibri" w:hAnsi="Calibri"/>
                <w:color w:val="565656"/>
                <w:sz w:val="18"/>
              </w:rPr>
              <w:t>2</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[METHOD]</w:t>
            </w:r>
          </w:p>
        </w:tc>
      </w:tr>
      <w:tr>
        <w:tc>
          <w:tcPr>
            <w:tcW w:type="dxa" w:w="576"/>
          </w:tcPr>
          <w:p>
            <w:pPr>
              <w:spacing w:after="40"/>
            </w:pPr>
            <w:r/>
            <w:r>
              <w:rPr>
                <w:rFonts w:ascii="Calibri" w:hAnsi="Calibri"/>
                <w:color w:val="565656"/>
                <w:sz w:val="18"/>
              </w:rPr>
              <w:t>3</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[METHOD]</w:t>
            </w:r>
          </w:p>
        </w:tc>
      </w:tr>
      <w:tr>
        <w:tc>
          <w:tcPr>
            <w:tcW w:type="dxa" w:w="576"/>
          </w:tcPr>
          <w:p>
            <w:pPr>
              <w:spacing w:after="40"/>
            </w:pPr>
            <w:r/>
            <w:r>
              <w:rPr>
                <w:rFonts w:ascii="Calibri" w:hAnsi="Calibri"/>
                <w:color w:val="565656"/>
                <w:sz w:val="18"/>
              </w:rPr>
              <w:t>4</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[METHOD]</w:t>
            </w:r>
          </w:p>
        </w:tc>
      </w:tr>
      <w:tr>
        <w:tc>
          <w:tcPr>
            <w:tcW w:type="dxa" w:w="576"/>
          </w:tcPr>
          <w:p>
            <w:pPr>
              <w:spacing w:after="40"/>
            </w:pPr>
            <w:r/>
            <w:r>
              <w:rPr>
                <w:rFonts w:ascii="Calibri" w:hAnsi="Calibri"/>
                <w:color w:val="565656"/>
                <w:sz w:val="18"/>
              </w:rPr>
              <w:t>5</w:t>
            </w:r>
          </w:p>
        </w:tc>
        <w:tc>
          <w:tcPr>
            <w:tcW w:type="dxa" w:w="3024"/>
          </w:tcPr>
          <w:p>
            <w:pPr>
              <w:spacing w:after="40"/>
            </w:pPr>
            <w:r/>
            <w:r>
              <w:rPr>
                <w:rFonts w:ascii="Calibri" w:hAnsi="Calibri"/>
                <w:color w:val="565656"/>
                <w:sz w:val="18"/>
              </w:rPr>
              <w:t>[NAME]</w:t>
            </w:r>
          </w:p>
        </w:tc>
        <w:tc>
          <w:tcPr>
            <w:tcW w:type="dxa" w:w="3024"/>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[METHOD]</w:t>
            </w:r>
          </w:p>
        </w:tc>
      </w:tr>
    </w:tbl>
    <w:p>
      <w:pPr>
        <w:keepNext w:val="0"/>
        <w:spacing w:after="120" w:before="0"/>
      </w:pPr>
      <w:r>
        <w:rPr>
          <w:rFonts w:ascii="Calibri" w:hAnsi="Calibri"/>
          <w:b w:val="0"/>
          <w:i/>
          <w:color w:val="565656"/>
          <w:sz w:val="18"/>
        </w:rPr>
        <w:t>Five slots a side, because section 4(4) stops at ten members in all and section 4(2) requires the two sides to be equal. Delete the rows you do not use, and delete the SAME NUMBER from each table: a committee with more employer members than worker members is not constituted as section 4(2) requires.</w:t>
      </w:r>
    </w:p>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RESOLVED FURTHER that [NAME] be the chairperson of the Committee for the year [YYYY], being a representative of [the employer / the workers], and that the chair pass to a representative of the other side for the year [YYYY+1], alternately and on a rotational basis every year, as section 4(3) requires.</w:t>
      </w:r>
    </w:p>
    <w:p>
      <w:pPr>
        <w:keepNext w:val="0"/>
        <w:spacing w:after="120" w:before="0"/>
      </w:pPr>
      <w:r>
        <w:rPr>
          <w:rFonts w:ascii="Calibri" w:hAnsi="Calibri"/>
          <w:b w:val="0"/>
          <w:i w:val="0"/>
          <w:color w:val="1D1D1D"/>
          <w:sz w:val="20"/>
        </w:rPr>
        <w:t>RESOLVED FURTHER that the members hold office for three years from [DD-MMM-YYYY], and that a member chosen to fill a casual vacancy hold office for the remainder of the predecessor's term.</w:t>
      </w:r>
    </w:p>
    <w:p>
      <w:pPr>
        <w:keepNext w:val="0"/>
        <w:spacing w:after="120" w:before="0"/>
      </w:pPr>
      <w:r>
        <w:rPr>
          <w:rFonts w:ascii="Calibri" w:hAnsi="Calibri"/>
          <w:b w:val="0"/>
          <w:i w:val="0"/>
          <w:color w:val="1D1D1D"/>
          <w:sz w:val="20"/>
        </w:rPr>
        <w:t>RESOLVED FURTHER that the Grievance Redressal Policy placed before the meeting be adopted, made known to every worker, and published on the notice board and the human resource portal.</w:t>
      </w:r>
    </w:p>
    <w:p>
      <w:pPr>
        <w:keepNext w:val="0"/>
        <w:spacing w:after="160" w:before="0"/>
        <w:ind w:left="144"/>
        <w:shd w:val="clear" w:fill="FFF6E5"/>
      </w:pPr>
      <w:r>
        <w:rPr>
          <w:rFonts w:ascii="Calibri" w:hAnsi="Calibri"/>
          <w:b w:val="0"/>
          <w:i/>
          <w:color w:val="565656"/>
          <w:sz w:val="18"/>
        </w:rPr>
        <w:t>NOTE FOR THE DRAFTER, delete before issuing.  Section 4(3) does not say who selects the chairperson, and rule 6 contains no chairperson provision at all. This resolution therefore records the first year's chairperson only. In the year the chair falls to the worker side, let the worker representatives select their own and minute that they did. Do not carry across rule 5(14)(ii), which gives the WORKS Committee chair to the employer's nominee and does not reach this committee.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03  ·  NOTICE TO WORKERS ANNOUNCING THE COMMITTEE</w:t>
      </w:r>
    </w:p>
    <w:p>
      <w:pPr>
        <w:keepNext w:val="0"/>
        <w:spacing w:after="160" w:before="0"/>
        <w:ind w:left="144"/>
        <w:shd w:val="clear" w:fill="F4FAFE"/>
      </w:pPr>
      <w:r>
        <w:rPr>
          <w:rFonts w:ascii="Calibri" w:hAnsi="Calibri"/>
          <w:b w:val="0"/>
          <w:i/>
          <w:color w:val="565656"/>
          <w:sz w:val="18"/>
        </w:rPr>
        <w:t>For the notice board and the HR portal. A committee nobody has been told about receives no applications.</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NOTICE  ·  GRIEVANCE REDRESSAL COMMITTEE</w:t>
      </w:r>
    </w:p>
    <w:p>
      <w:pPr>
        <w:keepNext w:val="0"/>
        <w:spacing w:after="120" w:before="0"/>
      </w:pPr>
      <w:r>
        <w:rPr>
          <w:rFonts w:ascii="Calibri" w:hAnsi="Calibri"/>
          <w:b w:val="0"/>
          <w:i w:val="0"/>
          <w:color w:val="1D1D1D"/>
          <w:sz w:val="20"/>
        </w:rPr>
        <w:t>The company has constituted a Grievance Redressal Committee under section 4 of the Industrial Relations Code, 2020, with effect from [DD-MMM-YYYY].</w:t>
      </w:r>
    </w:p>
    <w:p>
      <w:pPr>
        <w:keepNext w:val="0"/>
        <w:spacing w:after="120" w:before="0"/>
      </w:pPr>
      <w:r>
        <w:rPr>
          <w:rFonts w:ascii="Calibri" w:hAnsi="Calibri"/>
          <w:b w:val="0"/>
          <w:i w:val="0"/>
          <w:color w:val="1D1D1D"/>
          <w:sz w:val="20"/>
        </w:rPr>
        <w:t>Any worker who has an individual grievance arising out of their employment may apply to the Committee. There is no fee. You may apply on the form available [at the HR desk / on the portal], or in your own writing, provided it carries your name, designation, worker code or token number, department, length of service, category, address for correspondence, contact number, the details of your grievance and the relief you are asking for.</w:t>
      </w:r>
    </w:p>
    <w:p>
      <w:pPr>
        <w:keepNext w:val="0"/>
        <w:spacing w:after="120" w:before="0"/>
      </w:pPr>
      <w:r>
        <w:rPr>
          <w:rFonts w:ascii="Calibri" w:hAnsi="Calibri"/>
          <w:b w:val="0"/>
          <w:i w:val="0"/>
          <w:color w:val="1D1D1D"/>
          <w:sz w:val="20"/>
        </w:rPr>
        <w:t>You may send it electronically or on paper. Apply within one year from the date the grievance arose.</w:t>
      </w:r>
    </w:p>
    <w:p>
      <w:pPr>
        <w:keepNext w:val="0"/>
        <w:spacing w:after="120" w:before="0"/>
      </w:pPr>
      <w:r>
        <w:rPr>
          <w:rFonts w:ascii="Calibri" w:hAnsi="Calibri"/>
          <w:b w:val="0"/>
          <w:i w:val="0"/>
          <w:color w:val="1D1D1D"/>
          <w:sz w:val="20"/>
        </w:rPr>
        <w:t>You will receive a written acknowledgement with the date of receipt. The Committee will endeavour to complete its proceedings within thirty days and will give you its decision in writing.</w:t>
      </w:r>
    </w:p>
    <w:p>
      <w:pPr>
        <w:keepNext w:val="0"/>
        <w:spacing w:after="120" w:before="0"/>
      </w:pPr>
      <w:r>
        <w:rPr>
          <w:rFonts w:ascii="Calibri" w:hAnsi="Calibri"/>
          <w:b w:val="0"/>
          <w:i w:val="0"/>
          <w:color w:val="1D1D1D"/>
          <w:sz w:val="20"/>
        </w:rPr>
        <w:t>If you are not satisfied with the decision, or if your grievance is not resolved within thirty days, you may apply to the conciliation officer within sixty days, online on the portal of the Ministry of Labour and Employment, by speed post, or in person.</w:t>
      </w:r>
    </w:p>
    <w:p>
      <w:pPr>
        <w:keepNext w:val="0"/>
        <w:spacing w:after="120" w:before="0"/>
      </w:pPr>
      <w:r>
        <w:rPr>
          <w:rFonts w:ascii="Calibri" w:hAnsi="Calibri"/>
          <w:b w:val="0"/>
          <w:i w:val="0"/>
          <w:color w:val="1D1D1D"/>
          <w:sz w:val="20"/>
        </w:rPr>
        <w:t>No worker will suffer any disadvantage for raising a grievance in good faith.</w:t>
      </w:r>
    </w:p>
    <w:p>
      <w:pPr>
        <w:keepNext w:val="0"/>
        <w:spacing w:after="80" w:before="0"/>
      </w:pPr>
      <w:r>
        <w:rPr>
          <w:rFonts w:ascii="Calibri" w:hAnsi="Calibri"/>
          <w:b w:val="0"/>
          <w:i w:val="0"/>
          <w:color w:val="1D1D1D"/>
          <w:sz w:val="21"/>
        </w:rPr>
      </w:r>
    </w:p>
    <w:p>
      <w:pPr>
        <w:keepNext w:val="0"/>
        <w:spacing w:after="120" w:before="0"/>
      </w:pPr>
      <w:r>
        <w:rPr>
          <w:rFonts w:ascii="Calibri" w:hAnsi="Calibri"/>
          <w:b/>
          <w:i w:val="0"/>
          <w:color w:val="1D1D1D"/>
          <w:sz w:val="20"/>
        </w:rPr>
        <w:t>The members of the Committee are:</w:t>
      </w:r>
    </w:p>
    <w:tbl>
      <w:tblPr>
        <w:tblStyle w:val="TableGrid"/>
        <w:tblW w:type="auto" w:w="0"/>
        <w:tblLook w:firstColumn="1" w:firstRow="1" w:lastColumn="0" w:lastRow="0" w:noHBand="0" w:noVBand="1" w:val="04A0"/>
      </w:tblPr>
      <w:tblGrid>
        <w:gridCol w:w="3216"/>
        <w:gridCol w:w="3216"/>
        <w:gridCol w:w="3216"/>
      </w:tblGrid>
      <w:tr>
        <w:tc>
          <w:tcPr>
            <w:tcW w:type="dxa" w:w="3312"/>
          </w:tcPr>
          <w:p>
            <w:pPr>
              <w:spacing w:after="40"/>
              <w:shd w:val="clear" w:fill="E8F4FC"/>
            </w:pPr>
            <w:r/>
            <w:r>
              <w:rPr>
                <w:rFonts w:ascii="Calibri" w:hAnsi="Calibri"/>
                <w:b/>
                <w:color w:val="0069A4"/>
                <w:sz w:val="18"/>
              </w:rPr>
              <w:t>Name</w:t>
            </w:r>
          </w:p>
        </w:tc>
        <w:tc>
          <w:tcPr>
            <w:tcW w:type="dxa" w:w="3312"/>
          </w:tcPr>
          <w:p>
            <w:pPr>
              <w:spacing w:after="40"/>
              <w:shd w:val="clear" w:fill="E8F4FC"/>
            </w:pPr>
            <w:r/>
            <w:r>
              <w:rPr>
                <w:rFonts w:ascii="Calibri" w:hAnsi="Calibri"/>
                <w:b/>
                <w:color w:val="0069A4"/>
                <w:sz w:val="18"/>
              </w:rPr>
              <w:t>Designation</w:t>
            </w:r>
          </w:p>
        </w:tc>
        <w:tc>
          <w:tcPr>
            <w:tcW w:type="dxa" w:w="2592"/>
          </w:tcPr>
          <w:p>
            <w:pPr>
              <w:spacing w:after="40"/>
              <w:shd w:val="clear" w:fill="E8F4FC"/>
            </w:pPr>
            <w:r/>
            <w:r>
              <w:rPr>
                <w:rFonts w:ascii="Calibri" w:hAnsi="Calibri"/>
                <w:b/>
                <w:color w:val="0069A4"/>
                <w:sz w:val="18"/>
              </w:rPr>
              <w:t>Represents</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Employer</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Employer</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Workers</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Workers</w:t>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Chairperson for [YYYY]: [NAME].   Applications to: [NAME, DESIGNATION, EMAIL, DESK].</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04  ·  GRIEVANCE APPLICATION, FOR THE WORKER TO FILL</w:t>
      </w:r>
    </w:p>
    <w:p>
      <w:pPr>
        <w:keepNext w:val="0"/>
        <w:spacing w:after="160" w:before="0"/>
        <w:ind w:left="144"/>
        <w:shd w:val="clear" w:fill="F4FAFE"/>
      </w:pPr>
      <w:r>
        <w:rPr>
          <w:rFonts w:ascii="Calibri" w:hAnsi="Calibri"/>
          <w:b w:val="0"/>
          <w:i/>
          <w:color w:val="565656"/>
          <w:sz w:val="18"/>
        </w:rPr>
        <w:t>Carries the ten particulars rule 7(1) requires. No Form is prescribed under rule 7, so this is our format, not a statutory one.</w:t>
      </w:r>
    </w:p>
    <w:p>
      <w:pPr>
        <w:keepNext w:val="0"/>
        <w:spacing w:after="200" w:before="0"/>
      </w:pPr>
      <w:r>
        <w:rPr>
          <w:rFonts w:ascii="Calibri" w:hAnsi="Calibri"/>
          <w:b w:val="0"/>
          <w:i w:val="0"/>
          <w:color w:val="565656"/>
          <w:sz w:val="18"/>
        </w:rPr>
        <w:t>[ON PLAIN PAPER, OR WRITTEN INTO THE HR PORTAL]</w:t>
      </w:r>
    </w:p>
    <w:p>
      <w:pPr>
        <w:keepNext w:val="0"/>
        <w:spacing w:after="80" w:before="0"/>
      </w:pPr>
      <w:r>
        <w:rPr>
          <w:rFonts w:ascii="Calibri" w:hAnsi="Calibri"/>
          <w:b/>
          <w:i w:val="0"/>
          <w:color w:val="1D1D1D"/>
          <w:sz w:val="24"/>
        </w:rPr>
        <w:t>APPLICATION TO THE GRIEVANCE REDRESSAL COMMITTEE</w:t>
      </w:r>
    </w:p>
    <w:p>
      <w:pPr>
        <w:keepNext w:val="0"/>
        <w:spacing w:after="200" w:before="0"/>
      </w:pPr>
      <w:r>
        <w:rPr>
          <w:rFonts w:ascii="Calibri" w:hAnsi="Calibri"/>
          <w:b w:val="0"/>
          <w:i/>
          <w:color w:val="565656"/>
          <w:sz w:val="18"/>
        </w:rPr>
        <w:t>Under section 4(5) of the Industrial Relations Code, 2020 read with rule 7 of the Industrial Relations (Central) Rules, 2026. No Form is prescribed under rule 7. This format carries the ten particulars rule 7(1) requires.</w:t>
      </w:r>
    </w:p>
    <w:p>
      <w:pPr>
        <w:keepNext w:val="0"/>
        <w:spacing w:after="160" w:before="0"/>
      </w:pPr>
      <w:r>
        <w:rPr>
          <w:rFonts w:ascii="Calibri" w:hAnsi="Calibri"/>
          <w:b w:val="0"/>
          <w:i w:val="0"/>
          <w:color w:val="1D1D1D"/>
          <w:sz w:val="20"/>
        </w:rPr>
        <w:t>To: The Grievance Redressal Committee, [COMPANY NAME]</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8"/>
              </w:rPr>
              <w:t>#</w:t>
            </w:r>
          </w:p>
        </w:tc>
        <w:tc>
          <w:tcPr>
            <w:tcW w:type="dxa" w:w="4032"/>
          </w:tcPr>
          <w:p>
            <w:pPr>
              <w:spacing w:after="40"/>
              <w:shd w:val="clear" w:fill="E8F4FC"/>
            </w:pPr>
            <w:r/>
            <w:r>
              <w:rPr>
                <w:rFonts w:ascii="Calibri" w:hAnsi="Calibri"/>
                <w:b/>
                <w:color w:val="0069A4"/>
                <w:sz w:val="18"/>
              </w:rPr>
              <w:t>Particular required by rule 7(1)</w:t>
            </w:r>
          </w:p>
        </w:tc>
        <w:tc>
          <w:tcPr>
            <w:tcW w:type="dxa" w:w="4896"/>
          </w:tcPr>
          <w:p>
            <w:pPr>
              <w:spacing w:after="40"/>
              <w:shd w:val="clear" w:fill="E8F4FC"/>
            </w:pPr>
            <w:r/>
            <w:r>
              <w:rPr>
                <w:rFonts w:ascii="Calibri" w:hAnsi="Calibri"/>
                <w:b/>
                <w:color w:val="0069A4"/>
                <w:sz w:val="18"/>
              </w:rPr>
              <w:t>Your answer</w:t>
            </w:r>
          </w:p>
        </w:tc>
      </w:tr>
      <w:tr>
        <w:tc>
          <w:tcPr>
            <w:tcW w:type="dxa" w:w="576"/>
          </w:tcPr>
          <w:p>
            <w:pPr>
              <w:spacing w:after="40"/>
            </w:pPr>
            <w:r/>
            <w:r>
              <w:rPr>
                <w:rFonts w:ascii="Calibri" w:hAnsi="Calibri"/>
                <w:color w:val="565656"/>
                <w:sz w:val="18"/>
              </w:rPr>
              <w:t>1</w:t>
            </w:r>
          </w:p>
        </w:tc>
        <w:tc>
          <w:tcPr>
            <w:tcW w:type="dxa" w:w="4032"/>
          </w:tcPr>
          <w:p>
            <w:pPr>
              <w:spacing w:after="40"/>
            </w:pPr>
            <w:r/>
            <w:r>
              <w:rPr>
                <w:rFonts w:ascii="Calibri" w:hAnsi="Calibri"/>
                <w:color w:val="565656"/>
                <w:sz w:val="18"/>
              </w:rPr>
              <w:t>Name of the worker</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2</w:t>
            </w:r>
          </w:p>
        </w:tc>
        <w:tc>
          <w:tcPr>
            <w:tcW w:type="dxa" w:w="4032"/>
          </w:tcPr>
          <w:p>
            <w:pPr>
              <w:spacing w:after="40"/>
            </w:pPr>
            <w:r/>
            <w:r>
              <w:rPr>
                <w:rFonts w:ascii="Calibri" w:hAnsi="Calibri"/>
                <w:color w:val="565656"/>
                <w:sz w:val="18"/>
              </w:rPr>
              <w:t>Designation</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3</w:t>
            </w:r>
          </w:p>
        </w:tc>
        <w:tc>
          <w:tcPr>
            <w:tcW w:type="dxa" w:w="4032"/>
          </w:tcPr>
          <w:p>
            <w:pPr>
              <w:spacing w:after="40"/>
            </w:pPr>
            <w:r/>
            <w:r>
              <w:rPr>
                <w:rFonts w:ascii="Calibri" w:hAnsi="Calibri"/>
                <w:color w:val="565656"/>
                <w:sz w:val="18"/>
              </w:rPr>
              <w:t>Worker code or token number</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4</w:t>
            </w:r>
          </w:p>
        </w:tc>
        <w:tc>
          <w:tcPr>
            <w:tcW w:type="dxa" w:w="4032"/>
          </w:tcPr>
          <w:p>
            <w:pPr>
              <w:spacing w:after="40"/>
            </w:pPr>
            <w:r/>
            <w:r>
              <w:rPr>
                <w:rFonts w:ascii="Calibri" w:hAnsi="Calibri"/>
                <w:color w:val="565656"/>
                <w:sz w:val="18"/>
              </w:rPr>
              <w:t>Department where you are posted</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5</w:t>
            </w:r>
          </w:p>
        </w:tc>
        <w:tc>
          <w:tcPr>
            <w:tcW w:type="dxa" w:w="4032"/>
          </w:tcPr>
          <w:p>
            <w:pPr>
              <w:spacing w:after="40"/>
            </w:pPr>
            <w:r/>
            <w:r>
              <w:rPr>
                <w:rFonts w:ascii="Calibri" w:hAnsi="Calibri"/>
                <w:color w:val="565656"/>
                <w:sz w:val="18"/>
              </w:rPr>
              <w:t>Length of service, in years</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6</w:t>
            </w:r>
          </w:p>
        </w:tc>
        <w:tc>
          <w:tcPr>
            <w:tcW w:type="dxa" w:w="4032"/>
          </w:tcPr>
          <w:p>
            <w:pPr>
              <w:spacing w:after="40"/>
            </w:pPr>
            <w:r/>
            <w:r>
              <w:rPr>
                <w:rFonts w:ascii="Calibri" w:hAnsi="Calibri"/>
                <w:color w:val="565656"/>
                <w:sz w:val="18"/>
              </w:rPr>
              <w:t>Category of worker</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7</w:t>
            </w:r>
          </w:p>
        </w:tc>
        <w:tc>
          <w:tcPr>
            <w:tcW w:type="dxa" w:w="4032"/>
          </w:tcPr>
          <w:p>
            <w:pPr>
              <w:spacing w:after="40"/>
            </w:pPr>
            <w:r/>
            <w:r>
              <w:rPr>
                <w:rFonts w:ascii="Calibri" w:hAnsi="Calibri"/>
                <w:color w:val="565656"/>
                <w:sz w:val="18"/>
              </w:rPr>
              <w:t>Address for correspondence</w:t>
            </w:r>
          </w:p>
        </w:tc>
        <w:tc>
          <w:tcPr>
            <w:tcW w:type="dxa" w:w="4896"/>
          </w:tcPr>
          <w:p>
            <w:pPr>
              <w:spacing w:after="40"/>
            </w:pPr>
            <w:r/>
            <w:r>
              <w:rPr>
                <w:rFonts w:ascii="Calibri" w:hAnsi="Calibri"/>
                <w:color w:val="565656"/>
                <w:sz w:val="18"/>
              </w:rPr>
            </w:r>
          </w:p>
        </w:tc>
      </w:tr>
      <w:tr>
        <w:tc>
          <w:tcPr>
            <w:tcW w:type="dxa" w:w="576"/>
          </w:tcPr>
          <w:p>
            <w:pPr>
              <w:spacing w:after="40"/>
            </w:pPr>
            <w:r/>
            <w:r>
              <w:rPr>
                <w:rFonts w:ascii="Calibri" w:hAnsi="Calibri"/>
                <w:color w:val="565656"/>
                <w:sz w:val="18"/>
              </w:rPr>
              <w:t>8</w:t>
            </w:r>
          </w:p>
        </w:tc>
        <w:tc>
          <w:tcPr>
            <w:tcW w:type="dxa" w:w="4032"/>
          </w:tcPr>
          <w:p>
            <w:pPr>
              <w:spacing w:after="40"/>
            </w:pPr>
            <w:r/>
            <w:r>
              <w:rPr>
                <w:rFonts w:ascii="Calibri" w:hAnsi="Calibri"/>
                <w:color w:val="565656"/>
                <w:sz w:val="18"/>
              </w:rPr>
              <w:t>Contact number</w:t>
            </w:r>
          </w:p>
        </w:tc>
        <w:tc>
          <w:tcPr>
            <w:tcW w:type="dxa" w:w="4896"/>
          </w:tcPr>
          <w:p>
            <w:pPr>
              <w:spacing w:after="40"/>
            </w:pPr>
            <w:r/>
            <w:r>
              <w:rPr>
                <w:rFonts w:ascii="Calibri" w:hAnsi="Calibri"/>
                <w:color w:val="565656"/>
                <w:sz w:val="18"/>
              </w:rPr>
            </w:r>
          </w:p>
        </w:tc>
      </w:tr>
    </w:tbl>
    <w:p>
      <w:pPr>
        <w:keepNext w:val="0"/>
        <w:spacing w:after="160" w:before="0"/>
      </w:pPr>
      <w:r>
        <w:rPr>
          <w:rFonts w:ascii="Calibri" w:hAnsi="Calibri"/>
          <w:b w:val="0"/>
          <w:i w:val="0"/>
          <w:color w:val="1D1D1D"/>
          <w:sz w:val="21"/>
        </w:rPr>
      </w:r>
    </w:p>
    <w:p>
      <w:pPr>
        <w:keepNext w:val="0"/>
        <w:spacing w:after="80" w:before="0"/>
      </w:pPr>
      <w:r>
        <w:rPr>
          <w:rFonts w:ascii="Calibri" w:hAnsi="Calibri"/>
          <w:b/>
          <w:i w:val="0"/>
          <w:color w:val="1D1D1D"/>
          <w:sz w:val="20"/>
        </w:rPr>
        <w:t>9.  Details of the grievance</w:t>
      </w:r>
    </w:p>
    <w:p>
      <w:pPr>
        <w:keepNext w:val="0"/>
        <w:spacing w:after="120" w:before="0"/>
      </w:pPr>
      <w:r>
        <w:rPr>
          <w:rFonts w:ascii="Calibri" w:hAnsi="Calibri"/>
          <w:b w:val="0"/>
          <w:i/>
          <w:color w:val="565656"/>
          <w:sz w:val="18"/>
        </w:rPr>
        <w:t>State what happened, when it happened, and who was involved. Attach any paper you rely on.</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80"/>
      </w:pPr>
      <w:r>
        <w:rPr>
          <w:rFonts w:ascii="Calibri" w:hAnsi="Calibri"/>
          <w:b/>
          <w:i w:val="0"/>
          <w:color w:val="1D1D1D"/>
          <w:sz w:val="20"/>
        </w:rPr>
        <w:t>10. The relief sought</w:t>
      </w:r>
    </w:p>
    <w:p>
      <w:pPr>
        <w:keepNext w:val="0"/>
        <w:spacing w:after="120" w:before="0"/>
      </w:pPr>
      <w:r>
        <w:rPr>
          <w:rFonts w:ascii="Calibri" w:hAnsi="Calibri"/>
          <w:b w:val="0"/>
          <w:i/>
          <w:color w:val="565656"/>
          <w:sz w:val="18"/>
        </w:rPr>
        <w:t>Say what you are asking the Committee to do.</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0"/>
      </w:pPr>
      <w:r>
        <w:rPr>
          <w:rFonts w:ascii="Calibri" w:hAnsi="Calibri"/>
          <w:b w:val="0"/>
          <w:i w:val="0"/>
          <w:color w:val="1D1D1D"/>
          <w:sz w:val="21"/>
        </w:rPr>
      </w:r>
    </w:p>
    <w:p>
      <w:pPr>
        <w:keepNext w:val="0"/>
        <w:spacing w:after="200" w:before="0"/>
      </w:pPr>
      <w:r>
        <w:rPr>
          <w:rFonts w:ascii="Calibri" w:hAnsi="Calibri"/>
          <w:b w:val="0"/>
          <w:i w:val="0"/>
          <w:color w:val="565656"/>
          <w:sz w:val="19"/>
        </w:rPr>
        <w:t>Date on which the cause of action arose: [DD-MMM-YYYY]. This application is made within one year of that date, as rule 7(3) requires.</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05  ·  ACKNOWLEDGEMENT OF A GRIEVANCE RECEIVED</w:t>
      </w:r>
    </w:p>
    <w:p>
      <w:pPr>
        <w:keepNext w:val="0"/>
        <w:spacing w:after="160" w:before="0"/>
        <w:ind w:left="144"/>
        <w:shd w:val="clear" w:fill="F4FAFE"/>
      </w:pPr>
      <w:r>
        <w:rPr>
          <w:rFonts w:ascii="Calibri" w:hAnsi="Calibri"/>
          <w:b w:val="0"/>
          <w:i/>
          <w:color w:val="565656"/>
          <w:sz w:val="18"/>
        </w:rPr>
        <w:t>Date stamped, because the thirty days in s.4(6) run from receipt and the worker's sixty days run from the day they expire.</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ACKNOWLEDGEMENT</w:t>
      </w:r>
    </w:p>
    <w:p>
      <w:pPr>
        <w:keepNext w:val="0"/>
        <w:spacing w:after="120" w:before="0"/>
      </w:pPr>
      <w:r>
        <w:rPr>
          <w:rFonts w:ascii="Calibri" w:hAnsi="Calibri"/>
          <w:b w:val="0"/>
          <w:i w:val="0"/>
          <w:color w:val="1D1D1D"/>
          <w:sz w:val="20"/>
        </w:rPr>
        <w:t>Dear [WORKER NAME],</w:t>
      </w:r>
    </w:p>
    <w:p>
      <w:pPr>
        <w:keepNext w:val="0"/>
        <w:spacing w:after="120" w:before="0"/>
      </w:pPr>
      <w:r>
        <w:rPr>
          <w:rFonts w:ascii="Calibri" w:hAnsi="Calibri"/>
          <w:b w:val="0"/>
          <w:i w:val="0"/>
          <w:color w:val="1D1D1D"/>
          <w:sz w:val="20"/>
        </w:rPr>
        <w:t>We acknowledge your application to the Grievance Redressal Committee, received on [DD-MMM-YYYY] and entered in the grievance register at serial number [NUMBER].</w:t>
      </w:r>
    </w:p>
    <w:p>
      <w:pPr>
        <w:keepNext w:val="0"/>
        <w:spacing w:after="120" w:before="0"/>
      </w:pPr>
      <w:r>
        <w:rPr>
          <w:rFonts w:ascii="Calibri" w:hAnsi="Calibri"/>
          <w:b w:val="0"/>
          <w:i w:val="0"/>
          <w:color w:val="1D1D1D"/>
          <w:sz w:val="20"/>
        </w:rPr>
        <w:t>The Committee will endeavour to complete its proceedings within thirty days of that date, that is by [DD-MMM-YYYY]. You will be given an opportunity to be heard, and the decision will be given to you in writing.</w:t>
      </w:r>
    </w:p>
    <w:p>
      <w:pPr>
        <w:keepNext w:val="0"/>
        <w:spacing w:after="120" w:before="0"/>
      </w:pPr>
      <w:r>
        <w:rPr>
          <w:rFonts w:ascii="Calibri" w:hAnsi="Calibri"/>
          <w:b w:val="0"/>
          <w:i w:val="0"/>
          <w:color w:val="1D1D1D"/>
          <w:sz w:val="20"/>
        </w:rPr>
        <w:t>If you are not satisfied with the decision, or if your grievance is not resolved by [DD-MMM-YYYY], you may apply to the conciliation officer within sixty days of that date, online on the portal of the Ministry of Labour and Employment, by speed post, or in person.</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06  ·  NOTICE OF HEARING TO THE WORKER</w:t>
      </w:r>
    </w:p>
    <w:p>
      <w:pPr>
        <w:keepNext w:val="0"/>
        <w:spacing w:after="160" w:before="0"/>
        <w:ind w:left="144"/>
        <w:shd w:val="clear" w:fill="F4FAFE"/>
      </w:pPr>
      <w:r>
        <w:rPr>
          <w:rFonts w:ascii="Calibri" w:hAnsi="Calibri"/>
          <w:b w:val="0"/>
          <w:i/>
          <w:color w:val="565656"/>
          <w:sz w:val="18"/>
        </w:rPr>
        <w:t>Section 4 prescribes no procedure, so the pack supplies an ordinary fair hearing and says that is a choice, not a requirement.</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NOTICE OF HEARING</w:t>
      </w:r>
    </w:p>
    <w:p>
      <w:pPr>
        <w:keepNext w:val="0"/>
        <w:spacing w:after="120" w:before="0"/>
      </w:pPr>
      <w:r>
        <w:rPr>
          <w:rFonts w:ascii="Calibri" w:hAnsi="Calibri"/>
          <w:b w:val="0"/>
          <w:i w:val="0"/>
          <w:color w:val="1D1D1D"/>
          <w:sz w:val="20"/>
        </w:rPr>
        <w:t>Dear [WORKER NAME],</w:t>
      </w:r>
    </w:p>
    <w:p>
      <w:pPr>
        <w:keepNext w:val="0"/>
        <w:spacing w:after="120" w:before="0"/>
      </w:pPr>
      <w:r>
        <w:rPr>
          <w:rFonts w:ascii="Calibri" w:hAnsi="Calibri"/>
          <w:b w:val="0"/>
          <w:i w:val="0"/>
          <w:color w:val="1D1D1D"/>
          <w:sz w:val="20"/>
        </w:rPr>
        <w:t>Your grievance received on [DD-MMM-YYYY], register serial number [NUMBER], will be heard by the Grievance Redressal Committee on [DD-MMM-YYYY] at [TIME] at [PLACE].</w:t>
      </w:r>
    </w:p>
    <w:p>
      <w:pPr>
        <w:keepNext w:val="0"/>
        <w:spacing w:after="120" w:before="0"/>
      </w:pPr>
      <w:r>
        <w:rPr>
          <w:rFonts w:ascii="Calibri" w:hAnsi="Calibri"/>
          <w:b w:val="0"/>
          <w:i w:val="0"/>
          <w:color w:val="1D1D1D"/>
          <w:sz w:val="20"/>
        </w:rPr>
        <w:t>You may attend in person and say whatever you wish the Committee to consider. You may bring any document you rely on. You will be treated as on duty for the time you spend at the hearing.</w:t>
      </w:r>
    </w:p>
    <w:p>
      <w:pPr>
        <w:keepNext w:val="0"/>
        <w:spacing w:after="120" w:before="0"/>
      </w:pPr>
      <w:r>
        <w:rPr>
          <w:rFonts w:ascii="Calibri" w:hAnsi="Calibri"/>
          <w:b w:val="0"/>
          <w:i w:val="0"/>
          <w:color w:val="1D1D1D"/>
          <w:sz w:val="20"/>
        </w:rPr>
        <w:t>If the date or time does not suit you, tell [NAME] by [DD-MMM-YYYY] and another will be fixed.</w:t>
      </w:r>
    </w:p>
    <w:p>
      <w:pPr>
        <w:keepNext w:val="0"/>
        <w:spacing w:after="120" w:before="0"/>
      </w:pPr>
      <w:r>
        <w:rPr>
          <w:rFonts w:ascii="Calibri" w:hAnsi="Calibri"/>
          <w:b w:val="0"/>
          <w:i w:val="0"/>
          <w:color w:val="1D1D1D"/>
          <w:sz w:val="20"/>
        </w:rPr>
        <w:t>Section 4 of the Code prescribes no procedure for the Committee. The opportunity to be heard is given under the company's own grievance policy.</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07  ·  MINUTES AND DECISION OF THE COMMITTEE</w:t>
      </w:r>
    </w:p>
    <w:p>
      <w:pPr>
        <w:keepNext w:val="0"/>
        <w:spacing w:after="160" w:before="0"/>
        <w:ind w:left="144"/>
        <w:shd w:val="clear" w:fill="F4FAFE"/>
      </w:pPr>
      <w:r>
        <w:rPr>
          <w:rFonts w:ascii="Calibri" w:hAnsi="Calibri"/>
          <w:b w:val="0"/>
          <w:i/>
          <w:color w:val="565656"/>
          <w:sz w:val="18"/>
        </w:rPr>
        <w:t>Records the majority AND, separately, that more than half of the worker representatives agreed. Without the second, s.4(7) says there is no decision at all.</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MINUTES OF THE GRIEVANCE REDRESSAL COMMITTEE</w:t>
      </w:r>
    </w:p>
    <w:tbl>
      <w:tblPr>
        <w:tblStyle w:val="TableGrid"/>
        <w:tblW w:type="auto" w:w="0"/>
        <w:tblLook w:firstColumn="1" w:firstRow="1" w:lastColumn="0" w:lastRow="0" w:noHBand="0" w:noVBand="1" w:val="04A0"/>
      </w:tblPr>
      <w:tblGrid>
        <w:gridCol w:w="4824"/>
        <w:gridCol w:w="4824"/>
      </w:tblGrid>
      <w:tr>
        <w:tc>
          <w:tcPr>
            <w:tcW w:type="dxa" w:w="3168"/>
          </w:tcPr>
          <w:p>
            <w:pPr>
              <w:spacing w:after="40"/>
              <w:shd w:val="clear" w:fill="E8F4FC"/>
            </w:pPr>
            <w:r/>
            <w:r>
              <w:rPr>
                <w:rFonts w:ascii="Calibri" w:hAnsi="Calibri"/>
                <w:b/>
                <w:color w:val="0069A4"/>
                <w:sz w:val="18"/>
              </w:rPr>
              <w:t>Field</w:t>
            </w:r>
          </w:p>
        </w:tc>
        <w:tc>
          <w:tcPr>
            <w:tcW w:type="dxa" w:w="6192"/>
          </w:tcPr>
          <w:p>
            <w:pPr>
              <w:spacing w:after="40"/>
              <w:shd w:val="clear" w:fill="E8F4FC"/>
            </w:pPr>
            <w:r/>
            <w:r>
              <w:rPr>
                <w:rFonts w:ascii="Calibri" w:hAnsi="Calibri"/>
                <w:b/>
                <w:color w:val="0069A4"/>
                <w:sz w:val="18"/>
              </w:rPr>
              <w:t>Entry</w:t>
            </w:r>
          </w:p>
        </w:tc>
      </w:tr>
      <w:tr>
        <w:tc>
          <w:tcPr>
            <w:tcW w:type="dxa" w:w="3168"/>
          </w:tcPr>
          <w:p>
            <w:pPr>
              <w:spacing w:after="40"/>
            </w:pPr>
            <w:r/>
            <w:r>
              <w:rPr>
                <w:rFonts w:ascii="Calibri" w:hAnsi="Calibri"/>
                <w:color w:val="565656"/>
                <w:sz w:val="18"/>
              </w:rPr>
              <w:t>Register serial number</w:t>
            </w:r>
          </w:p>
        </w:tc>
        <w:tc>
          <w:tcPr>
            <w:tcW w:type="dxa" w:w="6192"/>
          </w:tcPr>
          <w:p>
            <w:pPr>
              <w:spacing w:after="40"/>
            </w:pPr>
            <w:r/>
            <w:r>
              <w:rPr>
                <w:rFonts w:ascii="Calibri" w:hAnsi="Calibri"/>
                <w:color w:val="565656"/>
                <w:sz w:val="18"/>
              </w:rPr>
              <w:t>[NUMBER]</w:t>
            </w:r>
          </w:p>
        </w:tc>
      </w:tr>
      <w:tr>
        <w:tc>
          <w:tcPr>
            <w:tcW w:type="dxa" w:w="3168"/>
          </w:tcPr>
          <w:p>
            <w:pPr>
              <w:spacing w:after="40"/>
            </w:pPr>
            <w:r/>
            <w:r>
              <w:rPr>
                <w:rFonts w:ascii="Calibri" w:hAnsi="Calibri"/>
                <w:color w:val="565656"/>
                <w:sz w:val="18"/>
              </w:rPr>
              <w:t>Worker</w:t>
            </w:r>
          </w:p>
        </w:tc>
        <w:tc>
          <w:tcPr>
            <w:tcW w:type="dxa" w:w="6192"/>
          </w:tcPr>
          <w:p>
            <w:pPr>
              <w:spacing w:after="40"/>
            </w:pPr>
            <w:r/>
            <w:r>
              <w:rPr>
                <w:rFonts w:ascii="Calibri" w:hAnsi="Calibri"/>
                <w:color w:val="565656"/>
                <w:sz w:val="18"/>
              </w:rPr>
              <w:t>[NAME], [DESIGNATION], [DEPARTMENT]</w:t>
            </w:r>
          </w:p>
        </w:tc>
      </w:tr>
      <w:tr>
        <w:tc>
          <w:tcPr>
            <w:tcW w:type="dxa" w:w="3168"/>
          </w:tcPr>
          <w:p>
            <w:pPr>
              <w:spacing w:after="40"/>
            </w:pPr>
            <w:r/>
            <w:r>
              <w:rPr>
                <w:rFonts w:ascii="Calibri" w:hAnsi="Calibri"/>
                <w:color w:val="565656"/>
                <w:sz w:val="18"/>
              </w:rPr>
              <w:t>Application received on</w:t>
            </w:r>
          </w:p>
        </w:tc>
        <w:tc>
          <w:tcPr>
            <w:tcW w:type="dxa" w:w="6192"/>
          </w:tcPr>
          <w:p>
            <w:pPr>
              <w:spacing w:after="40"/>
            </w:pPr>
            <w:r/>
            <w:r>
              <w:rPr>
                <w:rFonts w:ascii="Calibri" w:hAnsi="Calibri"/>
                <w:color w:val="565656"/>
                <w:sz w:val="18"/>
              </w:rPr>
              <w:t>[DD-MMM-YYYY]</w:t>
            </w:r>
          </w:p>
        </w:tc>
      </w:tr>
      <w:tr>
        <w:tc>
          <w:tcPr>
            <w:tcW w:type="dxa" w:w="3168"/>
          </w:tcPr>
          <w:p>
            <w:pPr>
              <w:spacing w:after="40"/>
            </w:pPr>
            <w:r/>
            <w:r>
              <w:rPr>
                <w:rFonts w:ascii="Calibri" w:hAnsi="Calibri"/>
                <w:color w:val="565656"/>
                <w:sz w:val="18"/>
              </w:rPr>
              <w:t>Thirty days from receipt</w:t>
            </w:r>
          </w:p>
        </w:tc>
        <w:tc>
          <w:tcPr>
            <w:tcW w:type="dxa" w:w="6192"/>
          </w:tcPr>
          <w:p>
            <w:pPr>
              <w:spacing w:after="40"/>
            </w:pPr>
            <w:r/>
            <w:r>
              <w:rPr>
                <w:rFonts w:ascii="Calibri" w:hAnsi="Calibri"/>
                <w:color w:val="565656"/>
                <w:sz w:val="18"/>
              </w:rPr>
              <w:t>[DD-MMM-YYYY]</w:t>
            </w:r>
          </w:p>
        </w:tc>
      </w:tr>
      <w:tr>
        <w:tc>
          <w:tcPr>
            <w:tcW w:type="dxa" w:w="3168"/>
          </w:tcPr>
          <w:p>
            <w:pPr>
              <w:spacing w:after="40"/>
            </w:pPr>
            <w:r/>
            <w:r>
              <w:rPr>
                <w:rFonts w:ascii="Calibri" w:hAnsi="Calibri"/>
                <w:color w:val="565656"/>
                <w:sz w:val="18"/>
              </w:rPr>
              <w:t>Heard on</w:t>
            </w:r>
          </w:p>
        </w:tc>
        <w:tc>
          <w:tcPr>
            <w:tcW w:type="dxa" w:w="6192"/>
          </w:tcPr>
          <w:p>
            <w:pPr>
              <w:spacing w:after="40"/>
            </w:pPr>
            <w:r/>
            <w:r>
              <w:rPr>
                <w:rFonts w:ascii="Calibri" w:hAnsi="Calibri"/>
                <w:color w:val="565656"/>
                <w:sz w:val="18"/>
              </w:rPr>
              <w:t>[DD-MMM-YYYY]</w:t>
            </w:r>
          </w:p>
        </w:tc>
      </w:tr>
      <w:tr>
        <w:tc>
          <w:tcPr>
            <w:tcW w:type="dxa" w:w="3168"/>
          </w:tcPr>
          <w:p>
            <w:pPr>
              <w:spacing w:after="40"/>
            </w:pPr>
            <w:r/>
            <w:r>
              <w:rPr>
                <w:rFonts w:ascii="Calibri" w:hAnsi="Calibri"/>
                <w:color w:val="565656"/>
                <w:sz w:val="18"/>
              </w:rPr>
              <w:t>Members present, employer side</w:t>
            </w:r>
          </w:p>
        </w:tc>
        <w:tc>
          <w:tcPr>
            <w:tcW w:type="dxa" w:w="6192"/>
          </w:tcPr>
          <w:p>
            <w:pPr>
              <w:spacing w:after="40"/>
            </w:pPr>
            <w:r/>
            <w:r>
              <w:rPr>
                <w:rFonts w:ascii="Calibri" w:hAnsi="Calibri"/>
                <w:color w:val="565656"/>
                <w:sz w:val="18"/>
              </w:rPr>
              <w:t>[NAMES]</w:t>
            </w:r>
          </w:p>
        </w:tc>
      </w:tr>
      <w:tr>
        <w:tc>
          <w:tcPr>
            <w:tcW w:type="dxa" w:w="3168"/>
          </w:tcPr>
          <w:p>
            <w:pPr>
              <w:spacing w:after="40"/>
            </w:pPr>
            <w:r/>
            <w:r>
              <w:rPr>
                <w:rFonts w:ascii="Calibri" w:hAnsi="Calibri"/>
                <w:color w:val="565656"/>
                <w:sz w:val="18"/>
              </w:rPr>
              <w:t>Members present, worker side</w:t>
            </w:r>
          </w:p>
        </w:tc>
        <w:tc>
          <w:tcPr>
            <w:tcW w:type="dxa" w:w="6192"/>
          </w:tcPr>
          <w:p>
            <w:pPr>
              <w:spacing w:after="40"/>
            </w:pPr>
            <w:r/>
            <w:r>
              <w:rPr>
                <w:rFonts w:ascii="Calibri" w:hAnsi="Calibri"/>
                <w:color w:val="565656"/>
                <w:sz w:val="18"/>
              </w:rPr>
              <w:t>[NAMES]</w:t>
            </w:r>
          </w:p>
        </w:tc>
      </w:tr>
      <w:tr>
        <w:tc>
          <w:tcPr>
            <w:tcW w:type="dxa" w:w="3168"/>
          </w:tcPr>
          <w:p>
            <w:pPr>
              <w:spacing w:after="40"/>
            </w:pPr>
            <w:r/>
            <w:r>
              <w:rPr>
                <w:rFonts w:ascii="Calibri" w:hAnsi="Calibri"/>
                <w:color w:val="565656"/>
                <w:sz w:val="18"/>
              </w:rPr>
              <w:t>Chairperson</w:t>
            </w:r>
          </w:p>
        </w:tc>
        <w:tc>
          <w:tcPr>
            <w:tcW w:type="dxa" w:w="6192"/>
          </w:tcPr>
          <w:p>
            <w:pPr>
              <w:spacing w:after="40"/>
            </w:pPr>
            <w:r/>
            <w:r>
              <w:rPr>
                <w:rFonts w:ascii="Calibri" w:hAnsi="Calibri"/>
                <w:color w:val="565656"/>
                <w:sz w:val="18"/>
              </w:rPr>
              <w:t>[NAME], representing [the employer / the workers]</w:t>
            </w:r>
          </w:p>
        </w:tc>
      </w:tr>
    </w:tbl>
    <w:p>
      <w:pPr>
        <w:keepNext w:val="0"/>
        <w:spacing w:after="160" w:before="0"/>
      </w:pPr>
      <w:r>
        <w:rPr>
          <w:rFonts w:ascii="Calibri" w:hAnsi="Calibri"/>
          <w:b w:val="0"/>
          <w:i w:val="0"/>
          <w:color w:val="1D1D1D"/>
          <w:sz w:val="21"/>
        </w:rPr>
      </w:r>
    </w:p>
    <w:p>
      <w:pPr>
        <w:keepNext w:val="0"/>
        <w:spacing w:after="80" w:before="0"/>
      </w:pPr>
      <w:r>
        <w:rPr>
          <w:rFonts w:ascii="Calibri" w:hAnsi="Calibri"/>
          <w:b/>
          <w:i w:val="0"/>
          <w:color w:val="1D1D1D"/>
          <w:sz w:val="20"/>
        </w:rPr>
        <w:t>The grievance, in short</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80"/>
      </w:pPr>
      <w:r>
        <w:rPr>
          <w:rFonts w:ascii="Calibri" w:hAnsi="Calibri"/>
          <w:b/>
          <w:i w:val="0"/>
          <w:color w:val="1D1D1D"/>
          <w:sz w:val="20"/>
        </w:rPr>
        <w:t>What the Committee found</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80"/>
      </w:pPr>
      <w:r>
        <w:rPr>
          <w:rFonts w:ascii="Calibri" w:hAnsi="Calibri"/>
          <w:b/>
          <w:i w:val="0"/>
          <w:color w:val="1D1D1D"/>
          <w:sz w:val="20"/>
        </w:rPr>
        <w:t>The decision</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20" w:before="120"/>
        <w:ind w:left="144"/>
        <w:shd w:val="clear" w:fill="FFF6E5"/>
      </w:pPr>
      <w:r>
        <w:rPr>
          <w:rFonts w:ascii="Calibri" w:hAnsi="Calibri"/>
          <w:b/>
          <w:i w:val="0"/>
          <w:color w:val="1D1D1D"/>
          <w:sz w:val="20"/>
        </w:rPr>
        <w:t>How the decision carried. Section 4(7) needs BOTH of the lines below. A majority alone is not a decision.</w:t>
      </w:r>
    </w:p>
    <w:tbl>
      <w:tblPr>
        <w:tblStyle w:val="TableGrid"/>
        <w:tblW w:type="auto" w:w="0"/>
        <w:tblLook w:firstColumn="1" w:firstRow="1" w:lastColumn="0" w:lastRow="0" w:noHBand="0" w:noVBand="1" w:val="04A0"/>
      </w:tblPr>
      <w:tblGrid>
        <w:gridCol w:w="3216"/>
        <w:gridCol w:w="3216"/>
        <w:gridCol w:w="3216"/>
      </w:tblGrid>
      <w:tr>
        <w:tc>
          <w:tcPr>
            <w:tcW w:type="dxa" w:w="4896"/>
          </w:tcPr>
          <w:p>
            <w:pPr>
              <w:spacing w:after="40"/>
              <w:shd w:val="clear" w:fill="E8F4FC"/>
            </w:pPr>
            <w:r/>
            <w:r>
              <w:rPr>
                <w:rFonts w:ascii="Calibri" w:hAnsi="Calibri"/>
                <w:b/>
                <w:color w:val="0069A4"/>
                <w:sz w:val="18"/>
              </w:rPr>
              <w:t>The test</w:t>
            </w:r>
          </w:p>
        </w:tc>
        <w:tc>
          <w:tcPr>
            <w:tcW w:type="dxa" w:w="2736"/>
          </w:tcPr>
          <w:p>
            <w:pPr>
              <w:spacing w:after="40"/>
              <w:shd w:val="clear" w:fill="E8F4FC"/>
            </w:pPr>
            <w:r/>
            <w:r>
              <w:rPr>
                <w:rFonts w:ascii="Calibri" w:hAnsi="Calibri"/>
                <w:b/>
                <w:color w:val="0069A4"/>
                <w:sz w:val="18"/>
              </w:rPr>
              <w:t>Numbers</w:t>
            </w:r>
          </w:p>
        </w:tc>
        <w:tc>
          <w:tcPr>
            <w:tcW w:type="dxa" w:w="1728"/>
          </w:tcPr>
          <w:p>
            <w:pPr>
              <w:spacing w:after="40"/>
              <w:shd w:val="clear" w:fill="E8F4FC"/>
            </w:pPr>
            <w:r/>
            <w:r>
              <w:rPr>
                <w:rFonts w:ascii="Calibri" w:hAnsi="Calibri"/>
                <w:b/>
                <w:color w:val="0069A4"/>
                <w:sz w:val="18"/>
              </w:rPr>
              <w:t>Met</w:t>
            </w:r>
          </w:p>
        </w:tc>
      </w:tr>
      <w:tr>
        <w:tc>
          <w:tcPr>
            <w:tcW w:type="dxa" w:w="4896"/>
          </w:tcPr>
          <w:p>
            <w:pPr>
              <w:spacing w:after="40"/>
            </w:pPr>
            <w:r/>
            <w:r>
              <w:rPr>
                <w:rFonts w:ascii="Calibri" w:hAnsi="Calibri"/>
                <w:color w:val="565656"/>
                <w:sz w:val="18"/>
              </w:rPr>
              <w:t>Majority of the members</w:t>
            </w:r>
          </w:p>
        </w:tc>
        <w:tc>
          <w:tcPr>
            <w:tcW w:type="dxa" w:w="2736"/>
          </w:tcPr>
          <w:p>
            <w:pPr>
              <w:spacing w:after="40"/>
            </w:pPr>
            <w:r/>
            <w:r>
              <w:rPr>
                <w:rFonts w:ascii="Calibri" w:hAnsi="Calibri"/>
                <w:color w:val="565656"/>
                <w:sz w:val="18"/>
              </w:rPr>
              <w:t>[NUMBER] of [NUMBER]</w:t>
            </w:r>
          </w:p>
        </w:tc>
        <w:tc>
          <w:tcPr>
            <w:tcW w:type="dxa" w:w="1728"/>
          </w:tcPr>
          <w:p>
            <w:pPr>
              <w:spacing w:after="40"/>
            </w:pPr>
            <w:r/>
            <w:r>
              <w:rPr>
                <w:rFonts w:ascii="Calibri" w:hAnsi="Calibri"/>
                <w:color w:val="565656"/>
                <w:sz w:val="18"/>
              </w:rPr>
              <w:t>[YES / NO]</w:t>
            </w:r>
          </w:p>
        </w:tc>
      </w:tr>
      <w:tr>
        <w:tc>
          <w:tcPr>
            <w:tcW w:type="dxa" w:w="4896"/>
          </w:tcPr>
          <w:p>
            <w:pPr>
              <w:spacing w:after="40"/>
            </w:pPr>
            <w:r/>
            <w:r>
              <w:rPr>
                <w:rFonts w:ascii="Calibri" w:hAnsi="Calibri"/>
                <w:color w:val="565656"/>
                <w:sz w:val="18"/>
              </w:rPr>
              <w:t>More than half of the members representing the workers agreed</w:t>
            </w:r>
          </w:p>
        </w:tc>
        <w:tc>
          <w:tcPr>
            <w:tcW w:type="dxa" w:w="2736"/>
          </w:tcPr>
          <w:p>
            <w:pPr>
              <w:spacing w:after="40"/>
            </w:pPr>
            <w:r/>
            <w:r>
              <w:rPr>
                <w:rFonts w:ascii="Calibri" w:hAnsi="Calibri"/>
                <w:color w:val="565656"/>
                <w:sz w:val="18"/>
              </w:rPr>
              <w:t>[NUMBER] of [NUMBER] worker members</w:t>
            </w:r>
          </w:p>
        </w:tc>
        <w:tc>
          <w:tcPr>
            <w:tcW w:type="dxa" w:w="1728"/>
          </w:tcPr>
          <w:p>
            <w:pPr>
              <w:spacing w:after="40"/>
            </w:pPr>
            <w:r/>
            <w:r>
              <w:rPr>
                <w:rFonts w:ascii="Calibri" w:hAnsi="Calibri"/>
                <w:color w:val="565656"/>
                <w:sz w:val="18"/>
              </w:rPr>
              <w:t>[YES / NO]</w:t>
            </w:r>
          </w:p>
        </w:tc>
      </w:tr>
    </w:tbl>
    <w:p>
      <w:pPr>
        <w:keepNext w:val="0"/>
        <w:spacing w:after="120" w:before="0"/>
      </w:pPr>
      <w:r>
        <w:rPr>
          <w:rFonts w:ascii="Calibri" w:hAnsi="Calibri"/>
          <w:b w:val="0"/>
          <w:i w:val="0"/>
          <w:color w:val="1D1D1D"/>
          <w:sz w:val="21"/>
        </w:rPr>
      </w:r>
    </w:p>
    <w:p>
      <w:pPr>
        <w:keepNext w:val="0"/>
        <w:spacing w:after="200" w:before="0"/>
      </w:pPr>
      <w:r>
        <w:rPr>
          <w:rFonts w:ascii="Calibri" w:hAnsi="Calibri"/>
          <w:b w:val="0"/>
          <w:i/>
          <w:color w:val="565656"/>
          <w:sz w:val="19"/>
        </w:rPr>
        <w:t>Where the second line is NO, section 4(7) says there is deemed to be no decision of the Committee, and the worker's sixty day right under section 4(8) runs from the expiry of the thirty days. Record that outcome as it is. Writing it up as a rejection is not what the Code says happened.</w:t>
      </w:r>
    </w:p>
    <w:p>
      <w:pPr>
        <w:keepNext w:val="0"/>
        <w:spacing w:after="80" w:before="0"/>
      </w:pPr>
      <w:r>
        <w:rPr>
          <w:rFonts w:ascii="Calibri" w:hAnsi="Calibri"/>
          <w:b w:val="0"/>
          <w:i w:val="0"/>
          <w:color w:val="1D1D1D"/>
          <w:sz w:val="19"/>
        </w:rPr>
        <w:t>Signature of the chairperson: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08  ·  COMMUNICATION OF THE DECISION TO THE WORKER</w:t>
      </w:r>
    </w:p>
    <w:p>
      <w:pPr>
        <w:keepNext w:val="0"/>
        <w:spacing w:after="160" w:before="0"/>
        <w:ind w:left="144"/>
        <w:shd w:val="clear" w:fill="F4FAFE"/>
      </w:pPr>
      <w:r>
        <w:rPr>
          <w:rFonts w:ascii="Calibri" w:hAnsi="Calibri"/>
          <w:b w:val="0"/>
          <w:i/>
          <w:color w:val="565656"/>
          <w:sz w:val="18"/>
        </w:rPr>
        <w:t>Carries the sixty day escalation route, in the worker's own copy, because s.4(8) gives them that right whether or not anyone mentions it.</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DECISION OF THE GRIEVANCE REDRESSAL COMMITTEE</w:t>
      </w:r>
    </w:p>
    <w:p>
      <w:pPr>
        <w:keepNext w:val="0"/>
        <w:spacing w:after="120" w:before="0"/>
      </w:pPr>
      <w:r>
        <w:rPr>
          <w:rFonts w:ascii="Calibri" w:hAnsi="Calibri"/>
          <w:b w:val="0"/>
          <w:i w:val="0"/>
          <w:color w:val="1D1D1D"/>
          <w:sz w:val="20"/>
        </w:rPr>
        <w:t>Dear [WORKER NAME],</w:t>
      </w:r>
    </w:p>
    <w:p>
      <w:pPr>
        <w:keepNext w:val="0"/>
        <w:spacing w:after="120" w:before="0"/>
      </w:pPr>
      <w:r>
        <w:rPr>
          <w:rFonts w:ascii="Calibri" w:hAnsi="Calibri"/>
          <w:b w:val="0"/>
          <w:i w:val="0"/>
          <w:color w:val="1D1D1D"/>
          <w:sz w:val="20"/>
        </w:rPr>
        <w:t>Your grievance received on [DD-MMM-YYYY], register serial number [NUMBER], was considered by the Grievance Redressal Committee on [DD-MMM-YYYY].</w:t>
      </w:r>
    </w:p>
    <w:p>
      <w:pPr>
        <w:keepNext w:val="0"/>
        <w:spacing w:after="120" w:before="0"/>
      </w:pPr>
      <w:r>
        <w:rPr>
          <w:rFonts w:ascii="Calibri" w:hAnsi="Calibri"/>
          <w:b w:val="0"/>
          <w:i w:val="0"/>
          <w:color w:val="1D1D1D"/>
          <w:sz w:val="20"/>
        </w:rPr>
        <w:t>The Committee's decision is as follows.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20" w:before="80"/>
      </w:pPr>
      <w:r>
        <w:rPr>
          <w:rFonts w:ascii="Calibri" w:hAnsi="Calibri"/>
          <w:b w:val="0"/>
          <w:i w:val="0"/>
          <w:color w:val="1D1D1D"/>
          <w:sz w:val="20"/>
        </w:rPr>
        <w:t>The reasons are as follows.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80"/>
        <w:ind w:left="144"/>
        <w:shd w:val="clear" w:fill="F4FAFE"/>
      </w:pPr>
      <w:r>
        <w:rPr>
          <w:rFonts w:ascii="Calibri" w:hAnsi="Calibri"/>
          <w:b w:val="0"/>
          <w:i w:val="0"/>
          <w:color w:val="1D1D1D"/>
          <w:sz w:val="20"/>
        </w:rPr>
        <w:t>If you are not satisfied with this decision you may apply to the conciliation officer within sixty days from [DD-MMM-YYYY], the date of this decision. You may apply online on the designated portal of the Ministry of Labour and Employment, by speed post, or in person. This right is given to you by section 4(8) of the Industrial Relations Code, 2020 and rule 8 of the Industrial Relations (Central) Rules, 2026.</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09  ·  GRIEVANCE REGISTER</w:t>
      </w:r>
    </w:p>
    <w:p>
      <w:pPr>
        <w:keepNext w:val="0"/>
        <w:spacing w:after="160" w:before="0"/>
        <w:ind w:left="144"/>
        <w:shd w:val="clear" w:fill="F4FAFE"/>
      </w:pPr>
      <w:r>
        <w:rPr>
          <w:rFonts w:ascii="Calibri" w:hAnsi="Calibri"/>
          <w:b w:val="0"/>
          <w:i/>
          <w:color w:val="565656"/>
          <w:sz w:val="18"/>
        </w:rPr>
        <w:t>One row per application, with the dates that decide every later deadline. This is the document an inspector asks for.</w:t>
      </w:r>
    </w:p>
    <w:p>
      <w:pPr>
        <w:keepNext w:val="0"/>
        <w:spacing w:after="40" w:before="0"/>
      </w:pPr>
      <w:r>
        <w:rPr>
          <w:rFonts w:ascii="Calibri" w:hAnsi="Calibri"/>
          <w:b/>
          <w:i w:val="0"/>
          <w:color w:val="1D1D1D"/>
          <w:sz w:val="26"/>
        </w:rPr>
        <w:t>GRIEVANCE REGISTER</w:t>
      </w:r>
    </w:p>
    <w:p>
      <w:pPr>
        <w:keepNext w:val="0"/>
        <w:spacing w:after="200" w:before="0"/>
      </w:pPr>
      <w:r>
        <w:rPr>
          <w:rFonts w:ascii="Calibri" w:hAnsi="Calibri"/>
          <w:b w:val="0"/>
          <w:i w:val="0"/>
          <w:color w:val="565656"/>
          <w:sz w:val="19"/>
        </w:rPr>
        <w:t>[COMPANY NAME]  ·  Year [YYYY]</w:t>
      </w:r>
    </w:p>
    <w:p>
      <w:pPr>
        <w:keepNext w:val="0"/>
        <w:spacing w:after="200" w:before="0"/>
      </w:pPr>
      <w:r>
        <w:rPr>
          <w:rFonts w:ascii="Calibri" w:hAnsi="Calibri"/>
          <w:b w:val="0"/>
          <w:i/>
          <w:color w:val="565656"/>
          <w:sz w:val="18"/>
        </w:rPr>
        <w:t>The Code prescribes no register for the Grievance Committee. Keep one anyway: every date in section 4 is counted from something, and this is where those dates live.</w:t>
      </w:r>
    </w:p>
    <w:tbl>
      <w:tblPr>
        <w:tblStyle w:val="TableGrid"/>
        <w:tblW w:type="auto" w:w="0"/>
        <w:tblLook w:firstColumn="1" w:firstRow="1" w:lastColumn="0" w:lastRow="0" w:noHBand="0" w:noVBand="1" w:val="04A0"/>
      </w:tblPr>
      <w:tblGrid>
        <w:gridCol w:w="1206"/>
        <w:gridCol w:w="1206"/>
        <w:gridCol w:w="1206"/>
        <w:gridCol w:w="1206"/>
        <w:gridCol w:w="1206"/>
        <w:gridCol w:w="1206"/>
        <w:gridCol w:w="1206"/>
        <w:gridCol w:w="1206"/>
      </w:tblGrid>
      <w:tr>
        <w:tc>
          <w:tcPr>
            <w:tcW w:type="dxa" w:w="432"/>
          </w:tcPr>
          <w:p>
            <w:pPr>
              <w:spacing w:after="40"/>
              <w:shd w:val="clear" w:fill="E8F4FC"/>
            </w:pPr>
            <w:r/>
            <w:r>
              <w:rPr>
                <w:rFonts w:ascii="Calibri" w:hAnsi="Calibri"/>
                <w:b/>
                <w:color w:val="0069A4"/>
                <w:sz w:val="16"/>
              </w:rPr>
              <w:t>#</w:t>
            </w:r>
          </w:p>
        </w:tc>
        <w:tc>
          <w:tcPr>
            <w:tcW w:type="dxa" w:w="1944"/>
          </w:tcPr>
          <w:p>
            <w:pPr>
              <w:spacing w:after="40"/>
              <w:shd w:val="clear" w:fill="E8F4FC"/>
            </w:pPr>
            <w:r/>
            <w:r>
              <w:rPr>
                <w:rFonts w:ascii="Calibri" w:hAnsi="Calibri"/>
                <w:b/>
                <w:color w:val="0069A4"/>
                <w:sz w:val="16"/>
              </w:rPr>
              <w:t>Worker and department</w:t>
            </w:r>
          </w:p>
        </w:tc>
        <w:tc>
          <w:tcPr>
            <w:tcW w:type="dxa" w:w="1008"/>
          </w:tcPr>
          <w:p>
            <w:pPr>
              <w:spacing w:after="40"/>
              <w:shd w:val="clear" w:fill="E8F4FC"/>
            </w:pPr>
            <w:r/>
            <w:r>
              <w:rPr>
                <w:rFonts w:ascii="Calibri" w:hAnsi="Calibri"/>
                <w:b/>
                <w:color w:val="0069A4"/>
                <w:sz w:val="16"/>
              </w:rPr>
              <w:t>Received on</w:t>
            </w:r>
          </w:p>
        </w:tc>
        <w:tc>
          <w:tcPr>
            <w:tcW w:type="dxa" w:w="1152"/>
          </w:tcPr>
          <w:p>
            <w:pPr>
              <w:spacing w:after="40"/>
              <w:shd w:val="clear" w:fill="E8F4FC"/>
            </w:pPr>
            <w:r/>
            <w:r>
              <w:rPr>
                <w:rFonts w:ascii="Calibri" w:hAnsi="Calibri"/>
                <w:b/>
                <w:color w:val="0069A4"/>
                <w:sz w:val="16"/>
              </w:rPr>
              <w:t>Thirty days from receipt</w:t>
            </w:r>
          </w:p>
        </w:tc>
        <w:tc>
          <w:tcPr>
            <w:tcW w:type="dxa" w:w="936"/>
          </w:tcPr>
          <w:p>
            <w:pPr>
              <w:spacing w:after="40"/>
              <w:shd w:val="clear" w:fill="E8F4FC"/>
            </w:pPr>
            <w:r/>
            <w:r>
              <w:rPr>
                <w:rFonts w:ascii="Calibri" w:hAnsi="Calibri"/>
                <w:b/>
                <w:color w:val="0069A4"/>
                <w:sz w:val="16"/>
              </w:rPr>
              <w:t>Heard on</w:t>
            </w:r>
          </w:p>
        </w:tc>
        <w:tc>
          <w:tcPr>
            <w:tcW w:type="dxa" w:w="936"/>
          </w:tcPr>
          <w:p>
            <w:pPr>
              <w:spacing w:after="40"/>
              <w:shd w:val="clear" w:fill="E8F4FC"/>
            </w:pPr>
            <w:r/>
            <w:r>
              <w:rPr>
                <w:rFonts w:ascii="Calibri" w:hAnsi="Calibri"/>
                <w:b/>
                <w:color w:val="0069A4"/>
                <w:sz w:val="16"/>
              </w:rPr>
              <w:t>Decided on</w:t>
            </w:r>
          </w:p>
        </w:tc>
        <w:tc>
          <w:tcPr>
            <w:tcW w:type="dxa" w:w="1944"/>
          </w:tcPr>
          <w:p>
            <w:pPr>
              <w:spacing w:after="40"/>
              <w:shd w:val="clear" w:fill="E8F4FC"/>
            </w:pPr>
            <w:r/>
            <w:r>
              <w:rPr>
                <w:rFonts w:ascii="Calibri" w:hAnsi="Calibri"/>
                <w:b/>
                <w:color w:val="0069A4"/>
                <w:sz w:val="16"/>
              </w:rPr>
              <w:t>Carried by a majority AND by more than half the worker members</w:t>
            </w:r>
          </w:p>
        </w:tc>
        <w:tc>
          <w:tcPr>
            <w:tcW w:type="dxa" w:w="1008"/>
          </w:tcPr>
          <w:p>
            <w:pPr>
              <w:spacing w:after="40"/>
              <w:shd w:val="clear" w:fill="E8F4FC"/>
            </w:pPr>
            <w:r/>
            <w:r>
              <w:rPr>
                <w:rFonts w:ascii="Calibri" w:hAnsi="Calibri"/>
                <w:b/>
                <w:color w:val="0069A4"/>
                <w:sz w:val="16"/>
              </w:rPr>
              <w:t>Escalated</w:t>
            </w:r>
          </w:p>
        </w:tc>
      </w:tr>
      <w:tr>
        <w:tc>
          <w:tcPr>
            <w:tcW w:type="dxa" w:w="432"/>
          </w:tcPr>
          <w:p>
            <w:pPr>
              <w:spacing w:after="40"/>
            </w:pPr>
            <w:r/>
            <w:r>
              <w:rPr>
                <w:rFonts w:ascii="Calibri" w:hAnsi="Calibri"/>
                <w:color w:val="565656"/>
                <w:sz w:val="16"/>
              </w:rPr>
              <w:t>1</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2</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3</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4</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5</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6</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7</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8</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9</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10</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11</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r>
        <w:tc>
          <w:tcPr>
            <w:tcW w:type="dxa" w:w="432"/>
          </w:tcPr>
          <w:p>
            <w:pPr>
              <w:spacing w:after="40"/>
            </w:pPr>
            <w:r/>
            <w:r>
              <w:rPr>
                <w:rFonts w:ascii="Calibri" w:hAnsi="Calibri"/>
                <w:color w:val="565656"/>
                <w:sz w:val="16"/>
              </w:rPr>
              <w:t>12</w:t>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152"/>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936"/>
          </w:tcPr>
          <w:p>
            <w:pPr>
              <w:spacing w:after="40"/>
            </w:pPr>
            <w:r/>
            <w:r>
              <w:rPr>
                <w:rFonts w:ascii="Calibri" w:hAnsi="Calibri"/>
                <w:color w:val="565656"/>
                <w:sz w:val="16"/>
              </w:rPr>
            </w:r>
          </w:p>
        </w:tc>
        <w:tc>
          <w:tcPr>
            <w:tcW w:type="dxa" w:w="1944"/>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Carry the serial number into every acknowledgement, minute and decision so a single grievance can be followed end to end. The seventh column is one column on purpose: section 4(7) needs a majority AND the agreement of more than half of the members representing the workers, and a register that logs only one of them cannot show the decision was validly made.</w:t>
      </w:r>
    </w:p>
    <w:p>
      <w:r>
        <w:br w:type="page"/>
      </w:r>
    </w:p>
    <w:p>
      <w:pPr>
        <w:pStyle w:val="Heading1"/>
        <w:keepNext/>
        <w:spacing w:after="200" w:before="80"/>
        <w:ind w:left="115"/>
        <w:shd w:val="clear" w:fill="0069A4"/>
      </w:pPr>
      <w:r>
        <w:rPr>
          <w:rFonts w:ascii="Calibri" w:hAnsi="Calibri"/>
          <w:b/>
          <w:color w:val="FFFFFF"/>
          <w:sz w:val="20"/>
        </w:rPr>
        <w:t>FORMAT 10  ·  CHAIRPERSON ROTATION RECORD</w:t>
      </w:r>
    </w:p>
    <w:p>
      <w:pPr>
        <w:keepNext w:val="0"/>
        <w:spacing w:after="160" w:before="0"/>
        <w:ind w:left="144"/>
        <w:shd w:val="clear" w:fill="F4FAFE"/>
      </w:pPr>
      <w:r>
        <w:rPr>
          <w:rFonts w:ascii="Calibri" w:hAnsi="Calibri"/>
          <w:b w:val="0"/>
          <w:i/>
          <w:color w:val="565656"/>
          <w:sz w:val="18"/>
        </w:rPr>
        <w:t>Section 4(3) alternates the chair between the two sides every year. A committee that never rotated is not constituted as the Code requires.</w:t>
      </w:r>
    </w:p>
    <w:p>
      <w:pPr>
        <w:keepNext w:val="0"/>
        <w:spacing w:after="40" w:before="0"/>
      </w:pPr>
      <w:r>
        <w:rPr>
          <w:rFonts w:ascii="Calibri" w:hAnsi="Calibri"/>
          <w:b/>
          <w:i w:val="0"/>
          <w:color w:val="1D1D1D"/>
          <w:sz w:val="26"/>
        </w:rPr>
        <w:t>CHAIRPERSON ROTATION RECORD</w:t>
      </w:r>
    </w:p>
    <w:p>
      <w:pPr>
        <w:keepNext w:val="0"/>
        <w:spacing w:after="200" w:before="0"/>
      </w:pPr>
      <w:r>
        <w:rPr>
          <w:rFonts w:ascii="Calibri" w:hAnsi="Calibri"/>
          <w:b w:val="0"/>
          <w:i w:val="0"/>
          <w:color w:val="565656"/>
          <w:sz w:val="19"/>
        </w:rPr>
        <w:t>[COMPANY NAME]</w:t>
      </w:r>
    </w:p>
    <w:p>
      <w:pPr>
        <w:keepNext w:val="0"/>
        <w:spacing w:after="200" w:before="0"/>
      </w:pPr>
      <w:r>
        <w:rPr>
          <w:rFonts w:ascii="Calibri" w:hAnsi="Calibri"/>
          <w:b w:val="0"/>
          <w:i w:val="0"/>
          <w:color w:val="1D1D1D"/>
          <w:sz w:val="20"/>
        </w:rPr>
        <w:t>Section 4(3) selects the chairperson from among the employer representatives and the worker representatives alternately, on a rotational basis, every year. The side must change each year. One page, kept for the life of the committee, is the whole evidence that it did.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152"/>
          </w:tcPr>
          <w:p>
            <w:pPr>
              <w:spacing w:after="40"/>
              <w:shd w:val="clear" w:fill="E8F4FC"/>
            </w:pPr>
            <w:r/>
            <w:r>
              <w:rPr>
                <w:rFonts w:ascii="Calibri" w:hAnsi="Calibri"/>
                <w:b/>
                <w:color w:val="0069A4"/>
                <w:sz w:val="18"/>
              </w:rPr>
              <w:t>Year</w:t>
            </w:r>
          </w:p>
        </w:tc>
        <w:tc>
          <w:tcPr>
            <w:tcW w:type="dxa" w:w="2592"/>
          </w:tcPr>
          <w:p>
            <w:pPr>
              <w:spacing w:after="40"/>
              <w:shd w:val="clear" w:fill="E8F4FC"/>
            </w:pPr>
            <w:r/>
            <w:r>
              <w:rPr>
                <w:rFonts w:ascii="Calibri" w:hAnsi="Calibri"/>
                <w:b/>
                <w:color w:val="0069A4"/>
                <w:sz w:val="18"/>
              </w:rPr>
              <w:t>Chairperson</w:t>
            </w:r>
          </w:p>
        </w:tc>
        <w:tc>
          <w:tcPr>
            <w:tcW w:type="dxa" w:w="1584"/>
          </w:tcPr>
          <w:p>
            <w:pPr>
              <w:spacing w:after="40"/>
              <w:shd w:val="clear" w:fill="E8F4FC"/>
            </w:pPr>
            <w:r/>
            <w:r>
              <w:rPr>
                <w:rFonts w:ascii="Calibri" w:hAnsi="Calibri"/>
                <w:b/>
                <w:color w:val="0069A4"/>
                <w:sz w:val="18"/>
              </w:rPr>
              <w:t>Represents</w:t>
            </w:r>
          </w:p>
        </w:tc>
        <w:tc>
          <w:tcPr>
            <w:tcW w:type="dxa" w:w="1872"/>
          </w:tcPr>
          <w:p>
            <w:pPr>
              <w:spacing w:after="40"/>
              <w:shd w:val="clear" w:fill="E8F4FC"/>
            </w:pPr>
            <w:r/>
            <w:r>
              <w:rPr>
                <w:rFonts w:ascii="Calibri" w:hAnsi="Calibri"/>
                <w:b/>
                <w:color w:val="0069A4"/>
                <w:sz w:val="18"/>
              </w:rPr>
              <w:t>Appointed on</w:t>
            </w:r>
          </w:p>
        </w:tc>
        <w:tc>
          <w:tcPr>
            <w:tcW w:type="dxa" w:w="2160"/>
          </w:tcPr>
          <w:p>
            <w:pPr>
              <w:spacing w:after="40"/>
              <w:shd w:val="clear" w:fill="E8F4FC"/>
            </w:pPr>
            <w:r/>
            <w:r>
              <w:rPr>
                <w:rFonts w:ascii="Calibri" w:hAnsi="Calibri"/>
                <w:b/>
                <w:color w:val="0069A4"/>
                <w:sz w:val="18"/>
              </w:rPr>
              <w:t>Side changed from last year</w:t>
            </w:r>
          </w:p>
        </w:tc>
      </w:tr>
      <w:tr>
        <w:tc>
          <w:tcPr>
            <w:tcW w:type="dxa" w:w="1152"/>
          </w:tcPr>
          <w:p>
            <w:pPr>
              <w:spacing w:after="40"/>
            </w:pPr>
            <w:r/>
            <w:r>
              <w:rPr>
                <w:rFonts w:ascii="Calibri" w:hAnsi="Calibri"/>
                <w:color w:val="565656"/>
                <w:sz w:val="18"/>
              </w:rPr>
              <w:t>[YYYY]</w:t>
            </w:r>
          </w:p>
        </w:tc>
        <w:tc>
          <w:tcPr>
            <w:tcW w:type="dxa" w:w="2592"/>
          </w:tcPr>
          <w:p>
            <w:pPr>
              <w:spacing w:after="40"/>
            </w:pPr>
            <w:r/>
            <w:r>
              <w:rPr>
                <w:rFonts w:ascii="Calibri" w:hAnsi="Calibri"/>
                <w:color w:val="565656"/>
                <w:sz w:val="18"/>
              </w:rPr>
              <w:t>[NAME]</w:t>
            </w:r>
          </w:p>
        </w:tc>
        <w:tc>
          <w:tcPr>
            <w:tcW w:type="dxa" w:w="1584"/>
          </w:tcPr>
          <w:p>
            <w:pPr>
              <w:spacing w:after="40"/>
            </w:pPr>
            <w:r/>
            <w:r>
              <w:rPr>
                <w:rFonts w:ascii="Calibri" w:hAnsi="Calibri"/>
                <w:color w:val="565656"/>
                <w:sz w:val="18"/>
              </w:rPr>
              <w:t>Employer</w:t>
            </w:r>
          </w:p>
        </w:tc>
        <w:tc>
          <w:tcPr>
            <w:tcW w:type="dxa" w:w="1872"/>
          </w:tcPr>
          <w:p>
            <w:pPr>
              <w:spacing w:after="40"/>
            </w:pPr>
            <w:r/>
            <w:r>
              <w:rPr>
                <w:rFonts w:ascii="Calibri" w:hAnsi="Calibri"/>
                <w:color w:val="565656"/>
                <w:sz w:val="18"/>
              </w:rPr>
              <w:t>[DD-MMM-YYYY]</w:t>
            </w:r>
          </w:p>
        </w:tc>
        <w:tc>
          <w:tcPr>
            <w:tcW w:type="dxa" w:w="2160"/>
          </w:tcPr>
          <w:p>
            <w:pPr>
              <w:spacing w:after="40"/>
            </w:pPr>
            <w:r/>
            <w:r>
              <w:rPr>
                <w:rFonts w:ascii="Calibri" w:hAnsi="Calibri"/>
                <w:color w:val="565656"/>
                <w:sz w:val="18"/>
              </w:rPr>
              <w:t>First year</w:t>
            </w:r>
          </w:p>
        </w:tc>
      </w:tr>
      <w:tr>
        <w:tc>
          <w:tcPr>
            <w:tcW w:type="dxa" w:w="1152"/>
          </w:tcPr>
          <w:p>
            <w:pPr>
              <w:spacing w:after="40"/>
            </w:pPr>
            <w:r/>
            <w:r>
              <w:rPr>
                <w:rFonts w:ascii="Calibri" w:hAnsi="Calibri"/>
                <w:color w:val="565656"/>
                <w:sz w:val="18"/>
              </w:rPr>
              <w:t>[YYYY]</w:t>
            </w:r>
          </w:p>
        </w:tc>
        <w:tc>
          <w:tcPr>
            <w:tcW w:type="dxa" w:w="2592"/>
          </w:tcPr>
          <w:p>
            <w:pPr>
              <w:spacing w:after="40"/>
            </w:pPr>
            <w:r/>
            <w:r>
              <w:rPr>
                <w:rFonts w:ascii="Calibri" w:hAnsi="Calibri"/>
                <w:color w:val="565656"/>
                <w:sz w:val="18"/>
              </w:rPr>
              <w:t>[NAME]</w:t>
            </w:r>
          </w:p>
        </w:tc>
        <w:tc>
          <w:tcPr>
            <w:tcW w:type="dxa" w:w="1584"/>
          </w:tcPr>
          <w:p>
            <w:pPr>
              <w:spacing w:after="40"/>
            </w:pPr>
            <w:r/>
            <w:r>
              <w:rPr>
                <w:rFonts w:ascii="Calibri" w:hAnsi="Calibri"/>
                <w:color w:val="565656"/>
                <w:sz w:val="18"/>
              </w:rPr>
              <w:t>Workers</w:t>
            </w:r>
          </w:p>
        </w:tc>
        <w:tc>
          <w:tcPr>
            <w:tcW w:type="dxa" w:w="1872"/>
          </w:tcPr>
          <w:p>
            <w:pPr>
              <w:spacing w:after="40"/>
            </w:pPr>
            <w:r/>
            <w:r>
              <w:rPr>
                <w:rFonts w:ascii="Calibri" w:hAnsi="Calibri"/>
                <w:color w:val="565656"/>
                <w:sz w:val="18"/>
              </w:rPr>
              <w:t>[DD-MMM-YYYY]</w:t>
            </w:r>
          </w:p>
        </w:tc>
        <w:tc>
          <w:tcPr>
            <w:tcW w:type="dxa" w:w="2160"/>
          </w:tcPr>
          <w:p>
            <w:pPr>
              <w:spacing w:after="40"/>
            </w:pPr>
            <w:r/>
            <w:r>
              <w:rPr>
                <w:rFonts w:ascii="Calibri" w:hAnsi="Calibri"/>
                <w:color w:val="565656"/>
                <w:sz w:val="18"/>
              </w:rPr>
              <w:t>Yes</w:t>
            </w:r>
          </w:p>
        </w:tc>
      </w:tr>
      <w:tr>
        <w:tc>
          <w:tcPr>
            <w:tcW w:type="dxa" w:w="1152"/>
          </w:tcPr>
          <w:p>
            <w:pPr>
              <w:spacing w:after="40"/>
            </w:pPr>
            <w:r/>
            <w:r>
              <w:rPr>
                <w:rFonts w:ascii="Calibri" w:hAnsi="Calibri"/>
                <w:color w:val="565656"/>
                <w:sz w:val="18"/>
              </w:rPr>
              <w:t>[YYYY]</w:t>
            </w:r>
          </w:p>
        </w:tc>
        <w:tc>
          <w:tcPr>
            <w:tcW w:type="dxa" w:w="2592"/>
          </w:tcPr>
          <w:p>
            <w:pPr>
              <w:spacing w:after="40"/>
            </w:pPr>
            <w:r/>
            <w:r>
              <w:rPr>
                <w:rFonts w:ascii="Calibri" w:hAnsi="Calibri"/>
                <w:color w:val="565656"/>
                <w:sz w:val="18"/>
              </w:rPr>
              <w:t>[NAME]</w:t>
            </w:r>
          </w:p>
        </w:tc>
        <w:tc>
          <w:tcPr>
            <w:tcW w:type="dxa" w:w="1584"/>
          </w:tcPr>
          <w:p>
            <w:pPr>
              <w:spacing w:after="40"/>
            </w:pPr>
            <w:r/>
            <w:r>
              <w:rPr>
                <w:rFonts w:ascii="Calibri" w:hAnsi="Calibri"/>
                <w:color w:val="565656"/>
                <w:sz w:val="18"/>
              </w:rPr>
              <w:t>Employer</w:t>
            </w:r>
          </w:p>
        </w:tc>
        <w:tc>
          <w:tcPr>
            <w:tcW w:type="dxa" w:w="1872"/>
          </w:tcPr>
          <w:p>
            <w:pPr>
              <w:spacing w:after="40"/>
            </w:pPr>
            <w:r/>
            <w:r>
              <w:rPr>
                <w:rFonts w:ascii="Calibri" w:hAnsi="Calibri"/>
                <w:color w:val="565656"/>
                <w:sz w:val="18"/>
              </w:rPr>
              <w:t>[DD-MMM-YYYY]</w:t>
            </w:r>
          </w:p>
        </w:tc>
        <w:tc>
          <w:tcPr>
            <w:tcW w:type="dxa" w:w="2160"/>
          </w:tcPr>
          <w:p>
            <w:pPr>
              <w:spacing w:after="40"/>
            </w:pPr>
            <w:r/>
            <w:r>
              <w:rPr>
                <w:rFonts w:ascii="Calibri" w:hAnsi="Calibri"/>
                <w:color w:val="565656"/>
                <w:sz w:val="18"/>
              </w:rPr>
              <w:t>Yes</w:t>
            </w:r>
          </w:p>
        </w:tc>
      </w:tr>
      <w:tr>
        <w:tc>
          <w:tcPr>
            <w:tcW w:type="dxa" w:w="1152"/>
          </w:tcPr>
          <w:p>
            <w:pPr>
              <w:spacing w:after="40"/>
            </w:pPr>
            <w:r/>
            <w:r>
              <w:rPr>
                <w:rFonts w:ascii="Calibri" w:hAnsi="Calibri"/>
                <w:color w:val="565656"/>
                <w:sz w:val="18"/>
              </w:rPr>
              <w:t>[YYYY]</w:t>
            </w:r>
          </w:p>
        </w:tc>
        <w:tc>
          <w:tcPr>
            <w:tcW w:type="dxa" w:w="2592"/>
          </w:tcPr>
          <w:p>
            <w:pPr>
              <w:spacing w:after="40"/>
            </w:pPr>
            <w:r/>
            <w:r>
              <w:rPr>
                <w:rFonts w:ascii="Calibri" w:hAnsi="Calibri"/>
                <w:color w:val="565656"/>
                <w:sz w:val="18"/>
              </w:rPr>
            </w:r>
          </w:p>
        </w:tc>
        <w:tc>
          <w:tcPr>
            <w:tcW w:type="dxa" w:w="158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160"/>
          </w:tcPr>
          <w:p>
            <w:pPr>
              <w:spacing w:after="40"/>
            </w:pPr>
            <w:r/>
            <w:r>
              <w:rPr>
                <w:rFonts w:ascii="Calibri" w:hAnsi="Calibri"/>
                <w:color w:val="565656"/>
                <w:sz w:val="18"/>
              </w:rPr>
            </w:r>
          </w:p>
        </w:tc>
      </w:tr>
      <w:tr>
        <w:tc>
          <w:tcPr>
            <w:tcW w:type="dxa" w:w="1152"/>
          </w:tcPr>
          <w:p>
            <w:pPr>
              <w:spacing w:after="40"/>
            </w:pPr>
            <w:r/>
            <w:r>
              <w:rPr>
                <w:rFonts w:ascii="Calibri" w:hAnsi="Calibri"/>
                <w:color w:val="565656"/>
                <w:sz w:val="18"/>
              </w:rPr>
              <w:t>[YYYY]</w:t>
            </w:r>
          </w:p>
        </w:tc>
        <w:tc>
          <w:tcPr>
            <w:tcW w:type="dxa" w:w="2592"/>
          </w:tcPr>
          <w:p>
            <w:pPr>
              <w:spacing w:after="40"/>
            </w:pPr>
            <w:r/>
            <w:r>
              <w:rPr>
                <w:rFonts w:ascii="Calibri" w:hAnsi="Calibri"/>
                <w:color w:val="565656"/>
                <w:sz w:val="18"/>
              </w:rPr>
            </w:r>
          </w:p>
        </w:tc>
        <w:tc>
          <w:tcPr>
            <w:tcW w:type="dxa" w:w="158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160"/>
          </w:tcPr>
          <w:p>
            <w:pPr>
              <w:spacing w:after="40"/>
            </w:pPr>
            <w:r/>
            <w:r>
              <w:rPr>
                <w:rFonts w:ascii="Calibri" w:hAnsi="Calibri"/>
                <w:color w:val="565656"/>
                <w:sz w:val="18"/>
              </w:rPr>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The three rows filled in are an example of the pattern, not a record of anything. Replace them.</w:t>
      </w:r>
    </w:p>
    <w:p>
      <w:r>
        <w:br w:type="page"/>
      </w:r>
    </w:p>
    <w:p>
      <w:pPr>
        <w:pStyle w:val="Heading1"/>
        <w:keepNext/>
        <w:spacing w:after="200" w:before="80"/>
        <w:ind w:left="115"/>
        <w:shd w:val="clear" w:fill="008CDB"/>
      </w:pPr>
      <w:r>
        <w:rPr>
          <w:rFonts w:ascii="Calibri" w:hAnsi="Calibri"/>
          <w:b/>
          <w:color w:val="FFFFFF"/>
          <w:sz w:val="22"/>
        </w:rPr>
        <w:t>7  ·  NINE MISTAKES EMPLOYERS MAKE</w:t>
      </w:r>
    </w:p>
    <w:p>
      <w:pPr>
        <w:keepNext/>
        <w:spacing w:after="60" w:before="0"/>
      </w:pPr>
      <w:r>
        <w:rPr>
          <w:rFonts w:ascii="Calibri" w:hAnsi="Calibri"/>
          <w:b/>
          <w:i w:val="0"/>
          <w:color w:val="1D1D1D"/>
          <w:sz w:val="21"/>
        </w:rPr>
        <w:t>1.  Waiting for a government order</w:t>
      </w:r>
    </w:p>
    <w:p>
      <w:pPr>
        <w:keepNext w:val="0"/>
        <w:spacing w:after="180" w:before="0"/>
        <w:ind w:left="288"/>
      </w:pPr>
      <w:r>
        <w:rPr>
          <w:rFonts w:ascii="Calibri" w:hAnsi="Calibri"/>
          <w:b w:val="0"/>
          <w:i w:val="0"/>
          <w:color w:val="565656"/>
          <w:sz w:val="20"/>
        </w:rPr>
        <w:t>That is the Works Committee under s.3, which needs one hundred workers and an order from the appropriate Government. Section 4 needs neither. Nothing will ever arrive to start this duty off.</w:t>
      </w:r>
    </w:p>
    <w:p>
      <w:pPr>
        <w:keepNext/>
        <w:spacing w:after="60" w:before="0"/>
      </w:pPr>
      <w:r>
        <w:rPr>
          <w:rFonts w:ascii="Calibri" w:hAnsi="Calibri"/>
          <w:b/>
          <w:i w:val="0"/>
          <w:color w:val="1D1D1D"/>
          <w:sz w:val="21"/>
        </w:rPr>
        <w:t>2.  Counting employees instead of workers</w:t>
      </w:r>
    </w:p>
    <w:p>
      <w:pPr>
        <w:keepNext w:val="0"/>
        <w:spacing w:after="180" w:before="0"/>
        <w:ind w:left="288"/>
      </w:pPr>
      <w:r>
        <w:rPr>
          <w:rFonts w:ascii="Calibri" w:hAnsi="Calibri"/>
          <w:b w:val="0"/>
          <w:i w:val="0"/>
          <w:color w:val="565656"/>
          <w:sz w:val="20"/>
        </w:rPr>
        <w:t>Managers, administrative staff and supervisors on wages above ₹18,000 a month are outside s.2(zr), and apprentices under the Apprentices Act, 1961 are excluded by name. An establishment of 24 people can be under twenty workers, and one of 19 can be over it once trainees who are not apprentices under a contract of apprenticeship are counted in.</w:t>
      </w:r>
    </w:p>
    <w:p>
      <w:pPr>
        <w:keepNext/>
        <w:spacing w:after="60" w:before="0"/>
      </w:pPr>
      <w:r>
        <w:rPr>
          <w:rFonts w:ascii="Calibri" w:hAnsi="Calibri"/>
          <w:b/>
          <w:i w:val="0"/>
          <w:color w:val="1D1D1D"/>
          <w:sz w:val="21"/>
        </w:rPr>
        <w:t>3.  Treating the thirty days as the deadline</w:t>
      </w:r>
    </w:p>
    <w:p>
      <w:pPr>
        <w:keepNext w:val="0"/>
        <w:spacing w:after="180" w:before="0"/>
        <w:ind w:left="288"/>
      </w:pPr>
      <w:r>
        <w:rPr>
          <w:rFonts w:ascii="Calibri" w:hAnsi="Calibri"/>
          <w:b w:val="0"/>
          <w:i w:val="0"/>
          <w:color w:val="565656"/>
          <w:sz w:val="20"/>
        </w:rPr>
        <w:t>s.4(6) says the committee may complete its proceedings within thirty days. The hard consequence of letting them pass is not a penalty, it is that the worker's right to go to the conciliation officer opens.</w:t>
      </w:r>
    </w:p>
    <w:p>
      <w:pPr>
        <w:keepNext/>
        <w:spacing w:after="60" w:before="0"/>
      </w:pPr>
      <w:r>
        <w:rPr>
          <w:rFonts w:ascii="Calibri" w:hAnsi="Calibri"/>
          <w:b/>
          <w:i w:val="0"/>
          <w:color w:val="1D1D1D"/>
          <w:sz w:val="21"/>
        </w:rPr>
        <w:t>4.  Recording a majority and nothing else</w:t>
      </w:r>
    </w:p>
    <w:p>
      <w:pPr>
        <w:keepNext w:val="0"/>
        <w:spacing w:after="180" w:before="0"/>
        <w:ind w:left="288"/>
      </w:pPr>
      <w:r>
        <w:rPr>
          <w:rFonts w:ascii="Calibri" w:hAnsi="Calibri"/>
          <w:b w:val="0"/>
          <w:i w:val="0"/>
          <w:color w:val="565656"/>
          <w:sz w:val="20"/>
        </w:rPr>
        <w:t>s.4(7) requires that more than half of the members representing the workers agreed. Take a committee of eight, four a side. Five members vote for a decision, which is a clear majority. If only one of those five is a worker representative, then one of four is not more than half, and section 4(7) says no decision was arrived at.</w:t>
      </w:r>
    </w:p>
    <w:p>
      <w:pPr>
        <w:keepNext/>
        <w:spacing w:after="60" w:before="0"/>
      </w:pPr>
      <w:r>
        <w:rPr>
          <w:rFonts w:ascii="Calibri" w:hAnsi="Calibri"/>
          <w:b/>
          <w:i w:val="0"/>
          <w:color w:val="1D1D1D"/>
          <w:sz w:val="21"/>
        </w:rPr>
        <w:t>5.  Refusing an escalation because the worker has no union</w:t>
      </w:r>
    </w:p>
    <w:p>
      <w:pPr>
        <w:keepNext w:val="0"/>
        <w:spacing w:after="180" w:before="0"/>
        <w:ind w:left="288"/>
      </w:pPr>
      <w:r>
        <w:rPr>
          <w:rFonts w:ascii="Calibri" w:hAnsi="Calibri"/>
          <w:b w:val="0"/>
          <w:i w:val="0"/>
          <w:color w:val="565656"/>
          <w:sz w:val="20"/>
        </w:rPr>
        <w:t>s.4(8) routes it through the trade union of which he is a member, but s.4(9) deems the dispute an industrial dispute even where no trade union is a party. The two do not sit easily together and an employer is not the right party to resolve that against its own worker.</w:t>
      </w:r>
    </w:p>
    <w:p>
      <w:pPr>
        <w:keepNext/>
        <w:spacing w:after="60" w:before="0"/>
      </w:pPr>
      <w:r>
        <w:rPr>
          <w:rFonts w:ascii="Calibri" w:hAnsi="Calibri"/>
          <w:b/>
          <w:i w:val="0"/>
          <w:color w:val="1D1D1D"/>
          <w:sz w:val="21"/>
        </w:rPr>
        <w:t>6.  Putting women on the committee as a gesture</w:t>
      </w:r>
    </w:p>
    <w:p>
      <w:pPr>
        <w:keepNext w:val="0"/>
        <w:spacing w:after="180" w:before="0"/>
        <w:ind w:left="288"/>
      </w:pPr>
      <w:r>
        <w:rPr>
          <w:rFonts w:ascii="Calibri" w:hAnsi="Calibri"/>
          <w:b w:val="0"/>
          <w:i w:val="0"/>
          <w:color w:val="565656"/>
          <w:sz w:val="20"/>
        </w:rPr>
        <w:t>The proviso fixes a floor, not an aspiration: not less than the proportion of women workers to total workers. Work it out and write the arithmetic into the resolution.</w:t>
      </w:r>
    </w:p>
    <w:p>
      <w:pPr>
        <w:keepNext/>
        <w:spacing w:after="60" w:before="0"/>
      </w:pPr>
      <w:r>
        <w:rPr>
          <w:rFonts w:ascii="Calibri" w:hAnsi="Calibri"/>
          <w:b/>
          <w:i w:val="0"/>
          <w:color w:val="1D1D1D"/>
          <w:sz w:val="21"/>
        </w:rPr>
        <w:t>7.  Never rotating the chair</w:t>
      </w:r>
    </w:p>
    <w:p>
      <w:pPr>
        <w:keepNext w:val="0"/>
        <w:spacing w:after="180" w:before="0"/>
        <w:ind w:left="288"/>
      </w:pPr>
      <w:r>
        <w:rPr>
          <w:rFonts w:ascii="Calibri" w:hAnsi="Calibri"/>
          <w:b w:val="0"/>
          <w:i w:val="0"/>
          <w:color w:val="565656"/>
          <w:sz w:val="20"/>
        </w:rPr>
        <w:t>s.4(3) alternates it between the employer side and the worker side every year. A chair held by the same side for three years is a defect on the face of the minutes.</w:t>
      </w:r>
    </w:p>
    <w:p>
      <w:pPr>
        <w:keepNext/>
        <w:spacing w:after="60" w:before="0"/>
      </w:pPr>
      <w:r>
        <w:rPr>
          <w:rFonts w:ascii="Calibri" w:hAnsi="Calibri"/>
          <w:b/>
          <w:i w:val="0"/>
          <w:color w:val="1D1D1D"/>
          <w:sz w:val="21"/>
        </w:rPr>
        <w:t>8.  Borrowing the Works Committee rules</w:t>
      </w:r>
    </w:p>
    <w:p>
      <w:pPr>
        <w:keepNext w:val="0"/>
        <w:spacing w:after="180" w:before="0"/>
        <w:ind w:left="288"/>
      </w:pPr>
      <w:r>
        <w:rPr>
          <w:rFonts w:ascii="Calibri" w:hAnsi="Calibri"/>
          <w:b w:val="0"/>
          <w:i w:val="0"/>
          <w:color w:val="565656"/>
          <w:sz w:val="20"/>
        </w:rPr>
        <w:t>Rule 5 sits on the page above rule 6 and gives the Works Committee office-bearers, quarterly meetings and a place in the unified annual return. None of it applies here, and adopting it invents duties the rules never imposed.</w:t>
      </w:r>
    </w:p>
    <w:p>
      <w:pPr>
        <w:keepNext/>
        <w:spacing w:after="60" w:before="0"/>
      </w:pPr>
      <w:r>
        <w:rPr>
          <w:rFonts w:ascii="Calibri" w:hAnsi="Calibri"/>
          <w:b/>
          <w:i w:val="0"/>
          <w:color w:val="1D1D1D"/>
          <w:sz w:val="21"/>
        </w:rPr>
        <w:t>9.  Assuming the POSH committee covers this</w:t>
      </w:r>
    </w:p>
    <w:p>
      <w:pPr>
        <w:keepNext w:val="0"/>
        <w:spacing w:after="180" w:before="0"/>
        <w:ind w:left="288"/>
      </w:pPr>
      <w:r>
        <w:rPr>
          <w:rFonts w:ascii="Calibri" w:hAnsi="Calibri"/>
          <w:b w:val="0"/>
          <w:i w:val="0"/>
          <w:color w:val="565656"/>
          <w:sz w:val="20"/>
        </w:rPr>
        <w:t>The Internal Committee under the POSH Act, 2013 handles sexual harassment complaints and is constituted under a different statute with a different composition. It is not a Grievance Redressal Committee and neither one discharges the other.</w:t>
      </w:r>
    </w:p>
    <w:p>
      <w:r>
        <w:br w:type="page"/>
      </w:r>
    </w:p>
    <w:p>
      <w:pPr>
        <w:pStyle w:val="Heading1"/>
        <w:keepNext/>
        <w:spacing w:after="200" w:before="80"/>
        <w:ind w:left="115"/>
        <w:shd w:val="clear" w:fill="008CDB"/>
      </w:pPr>
      <w:r>
        <w:rPr>
          <w:rFonts w:ascii="Calibri" w:hAnsi="Calibri"/>
          <w:b/>
          <w:color w:val="FFFFFF"/>
          <w:sz w:val="22"/>
        </w:rPr>
        <w:t>8  ·  FIFTEEN CHECKS, AND WHERE EVERY LINE COMES FROM</w:t>
      </w:r>
    </w:p>
    <w:p>
      <w:pPr>
        <w:keepNext w:val="0"/>
        <w:spacing w:after="200" w:before="0"/>
      </w:pPr>
      <w:r>
        <w:rPr>
          <w:rFonts w:ascii="Calibri" w:hAnsi="Calibri"/>
          <w:b w:val="0"/>
          <w:i w:val="0"/>
          <w:color w:val="1D1D1D"/>
          <w:sz w:val="21"/>
        </w:rPr>
        <w:t>Run these once when you constitute the committee, and the middle ones again on every grievance.</w:t>
      </w:r>
    </w:p>
    <w:p>
      <w:pPr>
        <w:keepNext w:val="0"/>
        <w:spacing w:after="80" w:before="0"/>
        <w:ind w:left="144"/>
      </w:pPr>
      <w:r>
        <w:rPr>
          <w:rFonts w:ascii="Calibri" w:hAnsi="Calibri"/>
          <w:b w:val="0"/>
          <w:i w:val="0"/>
          <w:color w:val="565656"/>
          <w:sz w:val="20"/>
        </w:rPr>
        <w:t>1.  Count your workers under s.2(zr), not your headcount, and write the number down with the date you counted it.</w:t>
      </w:r>
    </w:p>
    <w:p>
      <w:pPr>
        <w:keepNext w:val="0"/>
        <w:spacing w:after="80" w:before="0"/>
        <w:ind w:left="144"/>
      </w:pPr>
      <w:r>
        <w:rPr>
          <w:rFonts w:ascii="Calibri" w:hAnsi="Calibri"/>
          <w:b w:val="0"/>
          <w:i w:val="0"/>
          <w:color w:val="565656"/>
          <w:sz w:val="20"/>
        </w:rPr>
        <w:t>2.  If that number is twenty or more, constitute the committee. Do not wait for an order.</w:t>
      </w:r>
    </w:p>
    <w:p>
      <w:pPr>
        <w:keepNext w:val="0"/>
        <w:spacing w:after="80" w:before="0"/>
        <w:ind w:left="144"/>
      </w:pPr>
      <w:r>
        <w:rPr>
          <w:rFonts w:ascii="Calibri" w:hAnsi="Calibri"/>
          <w:b w:val="0"/>
          <w:i w:val="0"/>
          <w:color w:val="565656"/>
          <w:sz w:val="20"/>
        </w:rPr>
        <w:t>3.  Equal numbers from each side, ten members at the most.</w:t>
      </w:r>
    </w:p>
    <w:p>
      <w:pPr>
        <w:keepNext w:val="0"/>
        <w:spacing w:after="80" w:before="0"/>
        <w:ind w:left="144"/>
      </w:pPr>
      <w:r>
        <w:rPr>
          <w:rFonts w:ascii="Calibri" w:hAnsi="Calibri"/>
          <w:b w:val="0"/>
          <w:i w:val="0"/>
          <w:color w:val="565656"/>
          <w:sz w:val="20"/>
        </w:rPr>
        <w:t>4.  Work out the proportion of women workers and put the arithmetic in the resolution.</w:t>
      </w:r>
    </w:p>
    <w:p>
      <w:pPr>
        <w:keepNext w:val="0"/>
        <w:spacing w:after="80" w:before="0"/>
        <w:ind w:left="144"/>
      </w:pPr>
      <w:r>
        <w:rPr>
          <w:rFonts w:ascii="Calibri" w:hAnsi="Calibri"/>
          <w:b w:val="0"/>
          <w:i w:val="0"/>
          <w:color w:val="565656"/>
          <w:sz w:val="20"/>
        </w:rPr>
        <w:t>5.  Nominate the employer members, preferring heads of major departments.</w:t>
      </w:r>
    </w:p>
    <w:p>
      <w:pPr>
        <w:keepNext w:val="0"/>
        <w:spacing w:after="80" w:before="0"/>
        <w:ind w:left="144"/>
      </w:pPr>
      <w:r>
        <w:rPr>
          <w:rFonts w:ascii="Calibri" w:hAnsi="Calibri"/>
          <w:b w:val="0"/>
          <w:i w:val="0"/>
          <w:color w:val="565656"/>
          <w:sz w:val="20"/>
        </w:rPr>
        <w:t>6.  Establish whether you have a negotiating union or a negotiating council, because that decides who picks the worker members.</w:t>
      </w:r>
    </w:p>
    <w:p>
      <w:pPr>
        <w:keepNext w:val="0"/>
        <w:spacing w:after="80" w:before="0"/>
        <w:ind w:left="144"/>
      </w:pPr>
      <w:r>
        <w:rPr>
          <w:rFonts w:ascii="Calibri" w:hAnsi="Calibri"/>
          <w:b w:val="0"/>
          <w:i w:val="0"/>
          <w:color w:val="565656"/>
          <w:sz w:val="20"/>
        </w:rPr>
        <w:t>7.  Where there is neither, let the workers choose their own, and keep the record of how.</w:t>
      </w:r>
    </w:p>
    <w:p>
      <w:pPr>
        <w:keepNext w:val="0"/>
        <w:spacing w:after="80" w:before="0"/>
        <w:ind w:left="144"/>
      </w:pPr>
      <w:r>
        <w:rPr>
          <w:rFonts w:ascii="Calibri" w:hAnsi="Calibri"/>
          <w:b w:val="0"/>
          <w:i w:val="0"/>
          <w:color w:val="565656"/>
          <w:sz w:val="20"/>
        </w:rPr>
        <w:t>8.  Fix the chairperson for year one and diarise the rotation for year two. In the worker side's year, let the worker representatives select their own chairperson, because nothing gives that choice to the employer.</w:t>
      </w:r>
    </w:p>
    <w:p>
      <w:pPr>
        <w:keepNext w:val="0"/>
        <w:spacing w:after="80" w:before="0"/>
        <w:ind w:left="144"/>
      </w:pPr>
      <w:r>
        <w:rPr>
          <w:rFonts w:ascii="Calibri" w:hAnsi="Calibri"/>
          <w:b w:val="0"/>
          <w:i w:val="0"/>
          <w:color w:val="565656"/>
          <w:sz w:val="20"/>
        </w:rPr>
        <w:t>9.  Record the three year term of the members.</w:t>
      </w:r>
    </w:p>
    <w:p>
      <w:pPr>
        <w:keepNext w:val="0"/>
        <w:spacing w:after="80" w:before="0"/>
        <w:ind w:left="144"/>
      </w:pPr>
      <w:r>
        <w:rPr>
          <w:rFonts w:ascii="Calibri" w:hAnsi="Calibri"/>
          <w:b w:val="0"/>
          <w:i w:val="0"/>
          <w:color w:val="565656"/>
          <w:sz w:val="20"/>
        </w:rPr>
        <w:t>10.  Publish the committee, and how to apply to it, where workers will see it.</w:t>
      </w:r>
    </w:p>
    <w:p>
      <w:pPr>
        <w:keepNext w:val="0"/>
        <w:spacing w:after="80" w:before="0"/>
        <w:ind w:left="144"/>
      </w:pPr>
      <w:r>
        <w:rPr>
          <w:rFonts w:ascii="Calibri" w:hAnsi="Calibri"/>
          <w:b w:val="0"/>
          <w:i w:val="0"/>
          <w:color w:val="565656"/>
          <w:sz w:val="20"/>
        </w:rPr>
        <w:t>11.  Give every application a written acknowledgement carrying the date of receipt.</w:t>
      </w:r>
    </w:p>
    <w:p>
      <w:pPr>
        <w:keepNext w:val="0"/>
        <w:spacing w:after="80" w:before="0"/>
        <w:ind w:left="144"/>
      </w:pPr>
      <w:r>
        <w:rPr>
          <w:rFonts w:ascii="Calibri" w:hAnsi="Calibri"/>
          <w:b w:val="0"/>
          <w:i w:val="0"/>
          <w:color w:val="565656"/>
          <w:sz w:val="20"/>
        </w:rPr>
        <w:t>12.  Diarise thirty days from receipt of each application.</w:t>
      </w:r>
    </w:p>
    <w:p>
      <w:pPr>
        <w:keepNext w:val="0"/>
        <w:spacing w:after="80" w:before="0"/>
        <w:ind w:left="144"/>
      </w:pPr>
      <w:r>
        <w:rPr>
          <w:rFonts w:ascii="Calibri" w:hAnsi="Calibri"/>
          <w:b w:val="0"/>
          <w:i w:val="0"/>
          <w:color w:val="565656"/>
          <w:sz w:val="20"/>
        </w:rPr>
        <w:t>13.  Minute the decision showing the majority AND that more than half of the worker representatives agreed.</w:t>
      </w:r>
    </w:p>
    <w:p>
      <w:pPr>
        <w:keepNext w:val="0"/>
        <w:spacing w:after="80" w:before="0"/>
        <w:ind w:left="144"/>
      </w:pPr>
      <w:r>
        <w:rPr>
          <w:rFonts w:ascii="Calibri" w:hAnsi="Calibri"/>
          <w:b w:val="0"/>
          <w:i w:val="0"/>
          <w:color w:val="565656"/>
          <w:sz w:val="20"/>
        </w:rPr>
        <w:t>14.  Tell the worker, in writing, about the sixty day route to the conciliation officer.</w:t>
      </w:r>
    </w:p>
    <w:p>
      <w:pPr>
        <w:keepNext w:val="0"/>
        <w:spacing w:after="80" w:before="0"/>
        <w:ind w:left="144"/>
      </w:pPr>
      <w:r>
        <w:rPr>
          <w:rFonts w:ascii="Calibri" w:hAnsi="Calibri"/>
          <w:b w:val="0"/>
          <w:i w:val="0"/>
          <w:color w:val="565656"/>
          <w:sz w:val="20"/>
        </w:rPr>
        <w:t>15.  Keep the register current. It is the first thing anyone will ask to see.</w:t>
      </w:r>
    </w:p>
    <w:p>
      <w:pPr>
        <w:keepNext w:val="0"/>
        <w:spacing w:after="200" w:before="0"/>
      </w:pPr>
      <w:r>
        <w:rPr>
          <w:rFonts w:ascii="Calibri" w:hAnsi="Calibri"/>
          <w:b w:val="0"/>
          <w:i w:val="0"/>
          <w:color w:val="1D1D1D"/>
          <w:sz w:val="21"/>
        </w:rPr>
      </w:r>
    </w:p>
    <w:p>
      <w:pPr>
        <w:keepNext w:val="0"/>
        <w:spacing w:after="160" w:before="120"/>
      </w:pPr>
      <w:r>
        <w:rPr>
          <w:rFonts w:ascii="Calibri" w:hAnsi="Calibri"/>
          <w:b/>
          <w:i w:val="0"/>
          <w:color w:val="1D1D1D"/>
          <w:sz w:val="22"/>
        </w:rPr>
        <w:t>Every claim in this pack, against the provision it rests on</w:t>
      </w:r>
    </w:p>
    <w:tbl>
      <w:tblPr>
        <w:tblStyle w:val="TableGrid"/>
        <w:tblW w:type="auto" w:w="0"/>
        <w:tblLook w:firstColumn="1" w:firstRow="1" w:lastColumn="0" w:lastRow="0" w:noHBand="0" w:noVBand="1" w:val="04A0"/>
      </w:tblPr>
      <w:tblGrid>
        <w:gridCol w:w="4824"/>
        <w:gridCol w:w="4824"/>
      </w:tblGrid>
      <w:tr>
        <w:tc>
          <w:tcPr>
            <w:tcW w:type="dxa" w:w="6192"/>
          </w:tcPr>
          <w:p>
            <w:pPr>
              <w:spacing w:after="40"/>
              <w:shd w:val="clear" w:fill="E8F4FC"/>
            </w:pPr>
            <w:r/>
            <w:r>
              <w:rPr>
                <w:rFonts w:ascii="Calibri" w:hAnsi="Calibri"/>
                <w:b/>
                <w:color w:val="0069A4"/>
                <w:sz w:val="18"/>
              </w:rPr>
              <w:t>The claim</w:t>
            </w:r>
          </w:p>
        </w:tc>
        <w:tc>
          <w:tcPr>
            <w:tcW w:type="dxa" w:w="3168"/>
          </w:tcPr>
          <w:p>
            <w:pPr>
              <w:spacing w:after="40"/>
              <w:shd w:val="clear" w:fill="E8F4FC"/>
            </w:pPr>
            <w:r/>
            <w:r>
              <w:rPr>
                <w:rFonts w:ascii="Calibri" w:hAnsi="Calibri"/>
                <w:b/>
                <w:color w:val="0069A4"/>
                <w:sz w:val="18"/>
              </w:rPr>
              <w:t>The provision</w:t>
            </w:r>
          </w:p>
        </w:tc>
      </w:tr>
      <w:tr>
        <w:tc>
          <w:tcPr>
            <w:tcW w:type="dxa" w:w="6192"/>
          </w:tcPr>
          <w:p>
            <w:pPr>
              <w:spacing w:after="40"/>
            </w:pPr>
            <w:r/>
            <w:r>
              <w:rPr>
                <w:rFonts w:ascii="Calibri" w:hAnsi="Calibri"/>
                <w:color w:val="565656"/>
                <w:sz w:val="18"/>
              </w:rPr>
              <w:t>Every establishment with twenty or more workers shall have one or more Grievance Redressal Committees</w:t>
            </w:r>
          </w:p>
        </w:tc>
        <w:tc>
          <w:tcPr>
            <w:tcW w:type="dxa" w:w="3168"/>
          </w:tcPr>
          <w:p>
            <w:pPr>
              <w:spacing w:after="40"/>
            </w:pPr>
            <w:r/>
            <w:r>
              <w:rPr>
                <w:rFonts w:ascii="Calibri" w:hAnsi="Calibri"/>
                <w:color w:val="565656"/>
                <w:sz w:val="18"/>
              </w:rPr>
              <w:t>IR Code, 2020, s.4(1)</w:t>
            </w:r>
          </w:p>
        </w:tc>
      </w:tr>
      <w:tr>
        <w:tc>
          <w:tcPr>
            <w:tcW w:type="dxa" w:w="6192"/>
          </w:tcPr>
          <w:p>
            <w:pPr>
              <w:spacing w:after="40"/>
            </w:pPr>
            <w:r/>
            <w:r>
              <w:rPr>
                <w:rFonts w:ascii="Calibri" w:hAnsi="Calibri"/>
                <w:color w:val="565656"/>
                <w:sz w:val="18"/>
              </w:rPr>
              <w:t>Equal members from each side, chosen in such manner as may be prescribed</w:t>
            </w:r>
          </w:p>
        </w:tc>
        <w:tc>
          <w:tcPr>
            <w:tcW w:type="dxa" w:w="3168"/>
          </w:tcPr>
          <w:p>
            <w:pPr>
              <w:spacing w:after="40"/>
            </w:pPr>
            <w:r/>
            <w:r>
              <w:rPr>
                <w:rFonts w:ascii="Calibri" w:hAnsi="Calibri"/>
                <w:color w:val="565656"/>
                <w:sz w:val="18"/>
              </w:rPr>
              <w:t>IR Code, 2020, s.4(2)</w:t>
            </w:r>
          </w:p>
        </w:tc>
      </w:tr>
      <w:tr>
        <w:tc>
          <w:tcPr>
            <w:tcW w:type="dxa" w:w="6192"/>
          </w:tcPr>
          <w:p>
            <w:pPr>
              <w:spacing w:after="40"/>
            </w:pPr>
            <w:r/>
            <w:r>
              <w:rPr>
                <w:rFonts w:ascii="Calibri" w:hAnsi="Calibri"/>
                <w:color w:val="565656"/>
                <w:sz w:val="18"/>
              </w:rPr>
              <w:t>Chairperson alternately from each side, rotational, every year</w:t>
            </w:r>
          </w:p>
        </w:tc>
        <w:tc>
          <w:tcPr>
            <w:tcW w:type="dxa" w:w="3168"/>
          </w:tcPr>
          <w:p>
            <w:pPr>
              <w:spacing w:after="40"/>
            </w:pPr>
            <w:r/>
            <w:r>
              <w:rPr>
                <w:rFonts w:ascii="Calibri" w:hAnsi="Calibri"/>
                <w:color w:val="565656"/>
                <w:sz w:val="18"/>
              </w:rPr>
              <w:t>IR Code, 2020, s.4(3)</w:t>
            </w:r>
          </w:p>
        </w:tc>
      </w:tr>
      <w:tr>
        <w:tc>
          <w:tcPr>
            <w:tcW w:type="dxa" w:w="6192"/>
          </w:tcPr>
          <w:p>
            <w:pPr>
              <w:spacing w:after="40"/>
            </w:pPr>
            <w:r/>
            <w:r>
              <w:rPr>
                <w:rFonts w:ascii="Calibri" w:hAnsi="Calibri"/>
                <w:color w:val="565656"/>
                <w:sz w:val="18"/>
              </w:rPr>
              <w:t>Who selects that chairperson is nowhere prescribed: s.4(3) is passive and rule 6 has no chairperson provision</w:t>
            </w:r>
          </w:p>
        </w:tc>
        <w:tc>
          <w:tcPr>
            <w:tcW w:type="dxa" w:w="3168"/>
          </w:tcPr>
          <w:p>
            <w:pPr>
              <w:spacing w:after="40"/>
            </w:pPr>
            <w:r/>
            <w:r>
              <w:rPr>
                <w:rFonts w:ascii="Calibri" w:hAnsi="Calibri"/>
                <w:color w:val="565656"/>
                <w:sz w:val="18"/>
              </w:rPr>
              <w:t>IR Code, 2020, s.4(3) against IR (Central) Rules, 2026, rule 6</w:t>
            </w:r>
          </w:p>
        </w:tc>
      </w:tr>
      <w:tr>
        <w:tc>
          <w:tcPr>
            <w:tcW w:type="dxa" w:w="6192"/>
          </w:tcPr>
          <w:p>
            <w:pPr>
              <w:spacing w:after="40"/>
            </w:pPr>
            <w:r/>
            <w:r>
              <w:rPr>
                <w:rFonts w:ascii="Calibri" w:hAnsi="Calibri"/>
                <w:color w:val="565656"/>
                <w:sz w:val="18"/>
              </w:rPr>
              <w:t>The employer nominates the chair of the WORKS Committee, which is a different body</w:t>
            </w:r>
          </w:p>
        </w:tc>
        <w:tc>
          <w:tcPr>
            <w:tcW w:type="dxa" w:w="3168"/>
          </w:tcPr>
          <w:p>
            <w:pPr>
              <w:spacing w:after="40"/>
            </w:pPr>
            <w:r/>
            <w:r>
              <w:rPr>
                <w:rFonts w:ascii="Calibri" w:hAnsi="Calibri"/>
                <w:color w:val="565656"/>
                <w:sz w:val="18"/>
              </w:rPr>
              <w:t>IR (Central) Rules, 2026, rule 5(14)(ii)</w:t>
            </w:r>
          </w:p>
        </w:tc>
      </w:tr>
      <w:tr>
        <w:tc>
          <w:tcPr>
            <w:tcW w:type="dxa" w:w="6192"/>
          </w:tcPr>
          <w:p>
            <w:pPr>
              <w:spacing w:after="40"/>
            </w:pPr>
            <w:r/>
            <w:r>
              <w:rPr>
                <w:rFonts w:ascii="Calibri" w:hAnsi="Calibri"/>
                <w:color w:val="565656"/>
                <w:sz w:val="18"/>
              </w:rPr>
              <w:t>Not more than ten members</w:t>
            </w:r>
          </w:p>
        </w:tc>
        <w:tc>
          <w:tcPr>
            <w:tcW w:type="dxa" w:w="3168"/>
          </w:tcPr>
          <w:p>
            <w:pPr>
              <w:spacing w:after="40"/>
            </w:pPr>
            <w:r/>
            <w:r>
              <w:rPr>
                <w:rFonts w:ascii="Calibri" w:hAnsi="Calibri"/>
                <w:color w:val="565656"/>
                <w:sz w:val="18"/>
              </w:rPr>
              <w:t>IR Code, 2020, s.4(4)</w:t>
            </w:r>
          </w:p>
        </w:tc>
      </w:tr>
      <w:tr>
        <w:tc>
          <w:tcPr>
            <w:tcW w:type="dxa" w:w="6192"/>
          </w:tcPr>
          <w:p>
            <w:pPr>
              <w:spacing w:after="40"/>
            </w:pPr>
            <w:r/>
            <w:r>
              <w:rPr>
                <w:rFonts w:ascii="Calibri" w:hAnsi="Calibri"/>
                <w:color w:val="565656"/>
                <w:sz w:val="18"/>
              </w:rPr>
              <w:t>Women representation not less than the proportion of women workers</w:t>
            </w:r>
          </w:p>
        </w:tc>
        <w:tc>
          <w:tcPr>
            <w:tcW w:type="dxa" w:w="3168"/>
          </w:tcPr>
          <w:p>
            <w:pPr>
              <w:spacing w:after="40"/>
            </w:pPr>
            <w:r/>
            <w:r>
              <w:rPr>
                <w:rFonts w:ascii="Calibri" w:hAnsi="Calibri"/>
                <w:color w:val="565656"/>
                <w:sz w:val="18"/>
              </w:rPr>
              <w:t>IR Code, 2020, s.4(4) proviso</w:t>
            </w:r>
          </w:p>
        </w:tc>
      </w:tr>
      <w:tr>
        <w:tc>
          <w:tcPr>
            <w:tcW w:type="dxa" w:w="6192"/>
          </w:tcPr>
          <w:p>
            <w:pPr>
              <w:spacing w:after="40"/>
            </w:pPr>
            <w:r/>
            <w:r>
              <w:rPr>
                <w:rFonts w:ascii="Calibri" w:hAnsi="Calibri"/>
                <w:color w:val="565656"/>
                <w:sz w:val="18"/>
              </w:rPr>
              <w:t>Application within one year of the cause of action</w:t>
            </w:r>
          </w:p>
        </w:tc>
        <w:tc>
          <w:tcPr>
            <w:tcW w:type="dxa" w:w="3168"/>
          </w:tcPr>
          <w:p>
            <w:pPr>
              <w:spacing w:after="40"/>
            </w:pPr>
            <w:r/>
            <w:r>
              <w:rPr>
                <w:rFonts w:ascii="Calibri" w:hAnsi="Calibri"/>
                <w:color w:val="565656"/>
                <w:sz w:val="18"/>
              </w:rPr>
              <w:t>IR Code, 2020, s.4(5)</w:t>
            </w:r>
          </w:p>
        </w:tc>
      </w:tr>
      <w:tr>
        <w:tc>
          <w:tcPr>
            <w:tcW w:type="dxa" w:w="6192"/>
          </w:tcPr>
          <w:p>
            <w:pPr>
              <w:spacing w:after="40"/>
            </w:pPr>
            <w:r/>
            <w:r>
              <w:rPr>
                <w:rFonts w:ascii="Calibri" w:hAnsi="Calibri"/>
                <w:color w:val="565656"/>
                <w:sz w:val="18"/>
              </w:rPr>
              <w:t>The committee may complete its proceedings within thirty days</w:t>
            </w:r>
          </w:p>
        </w:tc>
        <w:tc>
          <w:tcPr>
            <w:tcW w:type="dxa" w:w="3168"/>
          </w:tcPr>
          <w:p>
            <w:pPr>
              <w:spacing w:after="40"/>
            </w:pPr>
            <w:r/>
            <w:r>
              <w:rPr>
                <w:rFonts w:ascii="Calibri" w:hAnsi="Calibri"/>
                <w:color w:val="565656"/>
                <w:sz w:val="18"/>
              </w:rPr>
              <w:t>IR Code, 2020, s.4(6)</w:t>
            </w:r>
          </w:p>
        </w:tc>
      </w:tr>
      <w:tr>
        <w:tc>
          <w:tcPr>
            <w:tcW w:type="dxa" w:w="6192"/>
          </w:tcPr>
          <w:p>
            <w:pPr>
              <w:spacing w:after="40"/>
            </w:pPr>
            <w:r/>
            <w:r>
              <w:rPr>
                <w:rFonts w:ascii="Calibri" w:hAnsi="Calibri"/>
                <w:color w:val="565656"/>
                <w:sz w:val="18"/>
              </w:rPr>
              <w:t>Decision by majority, provided more than half the worker representatives agreed, else deemed no decision</w:t>
            </w:r>
          </w:p>
        </w:tc>
        <w:tc>
          <w:tcPr>
            <w:tcW w:type="dxa" w:w="3168"/>
          </w:tcPr>
          <w:p>
            <w:pPr>
              <w:spacing w:after="40"/>
            </w:pPr>
            <w:r/>
            <w:r>
              <w:rPr>
                <w:rFonts w:ascii="Calibri" w:hAnsi="Calibri"/>
                <w:color w:val="565656"/>
                <w:sz w:val="18"/>
              </w:rPr>
              <w:t>IR Code, 2020, s.4(7)</w:t>
            </w:r>
          </w:p>
        </w:tc>
      </w:tr>
      <w:tr>
        <w:tc>
          <w:tcPr>
            <w:tcW w:type="dxa" w:w="6192"/>
          </w:tcPr>
          <w:p>
            <w:pPr>
              <w:spacing w:after="40"/>
            </w:pPr>
            <w:r/>
            <w:r>
              <w:rPr>
                <w:rFonts w:ascii="Calibri" w:hAnsi="Calibri"/>
                <w:color w:val="565656"/>
                <w:sz w:val="18"/>
              </w:rPr>
              <w:t>Sixty days to the conciliation officer, through the trade union of which he is a member</w:t>
            </w:r>
          </w:p>
        </w:tc>
        <w:tc>
          <w:tcPr>
            <w:tcW w:type="dxa" w:w="3168"/>
          </w:tcPr>
          <w:p>
            <w:pPr>
              <w:spacing w:after="40"/>
            </w:pPr>
            <w:r/>
            <w:r>
              <w:rPr>
                <w:rFonts w:ascii="Calibri" w:hAnsi="Calibri"/>
                <w:color w:val="565656"/>
                <w:sz w:val="18"/>
              </w:rPr>
              <w:t>IR Code, 2020, s.4(8)</w:t>
            </w:r>
          </w:p>
        </w:tc>
      </w:tr>
      <w:tr>
        <w:tc>
          <w:tcPr>
            <w:tcW w:type="dxa" w:w="6192"/>
          </w:tcPr>
          <w:p>
            <w:pPr>
              <w:spacing w:after="40"/>
            </w:pPr>
            <w:r/>
            <w:r>
              <w:rPr>
                <w:rFonts w:ascii="Calibri" w:hAnsi="Calibri"/>
                <w:color w:val="565656"/>
                <w:sz w:val="18"/>
              </w:rPr>
              <w:t>An individual termination dispute is deemed an industrial dispute even where no trade union is a party</w:t>
            </w:r>
          </w:p>
        </w:tc>
        <w:tc>
          <w:tcPr>
            <w:tcW w:type="dxa" w:w="3168"/>
          </w:tcPr>
          <w:p>
            <w:pPr>
              <w:spacing w:after="40"/>
            </w:pPr>
            <w:r/>
            <w:r>
              <w:rPr>
                <w:rFonts w:ascii="Calibri" w:hAnsi="Calibri"/>
                <w:color w:val="565656"/>
                <w:sz w:val="18"/>
              </w:rPr>
              <w:t>IR Code, 2020, s.4(9)</w:t>
            </w:r>
          </w:p>
        </w:tc>
      </w:tr>
      <w:tr>
        <w:tc>
          <w:tcPr>
            <w:tcW w:type="dxa" w:w="6192"/>
          </w:tcPr>
          <w:p>
            <w:pPr>
              <w:spacing w:after="40"/>
            </w:pPr>
            <w:r/>
            <w:r>
              <w:rPr>
                <w:rFonts w:ascii="Calibri" w:hAnsi="Calibri"/>
                <w:color w:val="565656"/>
                <w:sz w:val="18"/>
              </w:rPr>
              <w:t>Direct application to the Tribunal after forty-five days</w:t>
            </w:r>
          </w:p>
        </w:tc>
        <w:tc>
          <w:tcPr>
            <w:tcW w:type="dxa" w:w="3168"/>
          </w:tcPr>
          <w:p>
            <w:pPr>
              <w:spacing w:after="40"/>
            </w:pPr>
            <w:r/>
            <w:r>
              <w:rPr>
                <w:rFonts w:ascii="Calibri" w:hAnsi="Calibri"/>
                <w:color w:val="565656"/>
                <w:sz w:val="18"/>
              </w:rPr>
              <w:t>IR Code, 2020, s.4(10)</w:t>
            </w:r>
          </w:p>
        </w:tc>
      </w:tr>
      <w:tr>
        <w:tc>
          <w:tcPr>
            <w:tcW w:type="dxa" w:w="6192"/>
          </w:tcPr>
          <w:p>
            <w:pPr>
              <w:spacing w:after="40"/>
            </w:pPr>
            <w:r/>
            <w:r>
              <w:rPr>
                <w:rFonts w:ascii="Calibri" w:hAnsi="Calibri"/>
                <w:color w:val="565656"/>
                <w:sz w:val="18"/>
              </w:rPr>
              <w:t>And before two years from the date of termination</w:t>
            </w:r>
          </w:p>
        </w:tc>
        <w:tc>
          <w:tcPr>
            <w:tcW w:type="dxa" w:w="3168"/>
          </w:tcPr>
          <w:p>
            <w:pPr>
              <w:spacing w:after="40"/>
            </w:pPr>
            <w:r/>
            <w:r>
              <w:rPr>
                <w:rFonts w:ascii="Calibri" w:hAnsi="Calibri"/>
                <w:color w:val="565656"/>
                <w:sz w:val="18"/>
              </w:rPr>
              <w:t>IR Code, 2020, s.4(11)</w:t>
            </w:r>
          </w:p>
        </w:tc>
      </w:tr>
      <w:tr>
        <w:tc>
          <w:tcPr>
            <w:tcW w:type="dxa" w:w="6192"/>
          </w:tcPr>
          <w:p>
            <w:pPr>
              <w:spacing w:after="40"/>
            </w:pPr>
            <w:r/>
            <w:r>
              <w:rPr>
                <w:rFonts w:ascii="Calibri" w:hAnsi="Calibri"/>
                <w:color w:val="565656"/>
                <w:sz w:val="18"/>
              </w:rPr>
              <w:t>Works Committee: one hundred workers and a government order</w:t>
            </w:r>
          </w:p>
        </w:tc>
        <w:tc>
          <w:tcPr>
            <w:tcW w:type="dxa" w:w="3168"/>
          </w:tcPr>
          <w:p>
            <w:pPr>
              <w:spacing w:after="40"/>
            </w:pPr>
            <w:r/>
            <w:r>
              <w:rPr>
                <w:rFonts w:ascii="Calibri" w:hAnsi="Calibri"/>
                <w:color w:val="565656"/>
                <w:sz w:val="18"/>
              </w:rPr>
              <w:t>IR Code, 2020, s.3(1)</w:t>
            </w:r>
          </w:p>
        </w:tc>
      </w:tr>
      <w:tr>
        <w:tc>
          <w:tcPr>
            <w:tcW w:type="dxa" w:w="6192"/>
          </w:tcPr>
          <w:p>
            <w:pPr>
              <w:spacing w:after="40"/>
            </w:pPr>
            <w:r/>
            <w:r>
              <w:rPr>
                <w:rFonts w:ascii="Calibri" w:hAnsi="Calibri"/>
                <w:color w:val="565656"/>
                <w:sz w:val="18"/>
              </w:rPr>
              <w:t>Industrial establishment means an establishment carrying on any industry</w:t>
            </w:r>
          </w:p>
        </w:tc>
        <w:tc>
          <w:tcPr>
            <w:tcW w:type="dxa" w:w="3168"/>
          </w:tcPr>
          <w:p>
            <w:pPr>
              <w:spacing w:after="40"/>
            </w:pPr>
            <w:r/>
            <w:r>
              <w:rPr>
                <w:rFonts w:ascii="Calibri" w:hAnsi="Calibri"/>
                <w:color w:val="565656"/>
                <w:sz w:val="18"/>
              </w:rPr>
              <w:t>IR Code, 2020, s.2(p)</w:t>
            </w:r>
          </w:p>
        </w:tc>
      </w:tr>
      <w:tr>
        <w:tc>
          <w:tcPr>
            <w:tcW w:type="dxa" w:w="6192"/>
          </w:tcPr>
          <w:p>
            <w:pPr>
              <w:spacing w:after="40"/>
            </w:pPr>
            <w:r/>
            <w:r>
              <w:rPr>
                <w:rFonts w:ascii="Calibri" w:hAnsi="Calibri"/>
                <w:color w:val="565656"/>
                <w:sz w:val="18"/>
              </w:rPr>
              <w:t>The factory, mine and plantation definition is Chapter X only</w:t>
            </w:r>
          </w:p>
        </w:tc>
        <w:tc>
          <w:tcPr>
            <w:tcW w:type="dxa" w:w="3168"/>
          </w:tcPr>
          <w:p>
            <w:pPr>
              <w:spacing w:after="40"/>
            </w:pPr>
            <w:r/>
            <w:r>
              <w:rPr>
                <w:rFonts w:ascii="Calibri" w:hAnsi="Calibri"/>
                <w:color w:val="565656"/>
                <w:sz w:val="18"/>
              </w:rPr>
              <w:t>IR Code, 2020, s.77(3)</w:t>
            </w:r>
          </w:p>
        </w:tc>
      </w:tr>
      <w:tr>
        <w:tc>
          <w:tcPr>
            <w:tcW w:type="dxa" w:w="6192"/>
          </w:tcPr>
          <w:p>
            <w:pPr>
              <w:spacing w:after="40"/>
            </w:pPr>
            <w:r/>
            <w:r>
              <w:rPr>
                <w:rFonts w:ascii="Calibri" w:hAnsi="Calibri"/>
                <w:color w:val="565656"/>
                <w:sz w:val="18"/>
              </w:rPr>
              <w:t>Worker excludes managerial and administrative staff, and supervisors on wages above ₹18,000 a month</w:t>
            </w:r>
          </w:p>
        </w:tc>
        <w:tc>
          <w:tcPr>
            <w:tcW w:type="dxa" w:w="3168"/>
          </w:tcPr>
          <w:p>
            <w:pPr>
              <w:spacing w:after="40"/>
            </w:pPr>
            <w:r/>
            <w:r>
              <w:rPr>
                <w:rFonts w:ascii="Calibri" w:hAnsi="Calibri"/>
                <w:color w:val="565656"/>
                <w:sz w:val="18"/>
              </w:rPr>
              <w:t>IR Code, 2020, s.2(zr)</w:t>
            </w:r>
          </w:p>
        </w:tc>
      </w:tr>
      <w:tr>
        <w:tc>
          <w:tcPr>
            <w:tcW w:type="dxa" w:w="6192"/>
          </w:tcPr>
          <w:p>
            <w:pPr>
              <w:spacing w:after="40"/>
            </w:pPr>
            <w:r/>
            <w:r>
              <w:rPr>
                <w:rFonts w:ascii="Calibri" w:hAnsi="Calibri"/>
                <w:color w:val="565656"/>
                <w:sz w:val="18"/>
              </w:rPr>
              <w:t>An emergent change of shift working needs no notice of change if it is made in consultation with the Grievance Committee</w:t>
            </w:r>
          </w:p>
        </w:tc>
        <w:tc>
          <w:tcPr>
            <w:tcW w:type="dxa" w:w="3168"/>
          </w:tcPr>
          <w:p>
            <w:pPr>
              <w:spacing w:after="40"/>
            </w:pPr>
            <w:r/>
            <w:r>
              <w:rPr>
                <w:rFonts w:ascii="Calibri" w:hAnsi="Calibri"/>
                <w:color w:val="565656"/>
                <w:sz w:val="18"/>
              </w:rPr>
              <w:t>IR Code, 2020, s.40 proviso (c)</w:t>
            </w:r>
          </w:p>
        </w:tc>
      </w:tr>
      <w:tr>
        <w:tc>
          <w:tcPr>
            <w:tcW w:type="dxa" w:w="6192"/>
          </w:tcPr>
          <w:p>
            <w:pPr>
              <w:spacing w:after="40"/>
            </w:pPr>
            <w:r/>
            <w:r>
              <w:rPr>
                <w:rFonts w:ascii="Calibri" w:hAnsi="Calibri"/>
                <w:color w:val="565656"/>
                <w:sz w:val="18"/>
              </w:rPr>
              <w:t>Otherwise a Third Schedule change needs notice and twenty-one days</w:t>
            </w:r>
          </w:p>
        </w:tc>
        <w:tc>
          <w:tcPr>
            <w:tcW w:type="dxa" w:w="3168"/>
          </w:tcPr>
          <w:p>
            <w:pPr>
              <w:spacing w:after="40"/>
            </w:pPr>
            <w:r/>
            <w:r>
              <w:rPr>
                <w:rFonts w:ascii="Calibri" w:hAnsi="Calibri"/>
                <w:color w:val="565656"/>
                <w:sz w:val="18"/>
              </w:rPr>
              <w:t>IR Code, 2020, s.40(i) and (ii)</w:t>
            </w:r>
          </w:p>
        </w:tc>
      </w:tr>
      <w:tr>
        <w:tc>
          <w:tcPr>
            <w:tcW w:type="dxa" w:w="6192"/>
          </w:tcPr>
          <w:p>
            <w:pPr>
              <w:spacing w:after="40"/>
            </w:pPr>
            <w:r/>
            <w:r>
              <w:rPr>
                <w:rFonts w:ascii="Calibri" w:hAnsi="Calibri"/>
                <w:color w:val="565656"/>
                <w:sz w:val="18"/>
              </w:rPr>
              <w:t>Contravening any other provision of the Code or the rules: fine up to ₹1,00,000</w:t>
            </w:r>
          </w:p>
        </w:tc>
        <w:tc>
          <w:tcPr>
            <w:tcW w:type="dxa" w:w="3168"/>
          </w:tcPr>
          <w:p>
            <w:pPr>
              <w:spacing w:after="40"/>
            </w:pPr>
            <w:r/>
            <w:r>
              <w:rPr>
                <w:rFonts w:ascii="Calibri" w:hAnsi="Calibri"/>
                <w:color w:val="565656"/>
                <w:sz w:val="18"/>
              </w:rPr>
              <w:t>IR Code, 2020, s.86(20)</w:t>
            </w:r>
          </w:p>
        </w:tc>
      </w:tr>
      <w:tr>
        <w:tc>
          <w:tcPr>
            <w:tcW w:type="dxa" w:w="6192"/>
          </w:tcPr>
          <w:p>
            <w:pPr>
              <w:spacing w:after="40"/>
            </w:pPr>
            <w:r/>
            <w:r>
              <w:rPr>
                <w:rFonts w:ascii="Calibri" w:hAnsi="Calibri"/>
                <w:color w:val="565656"/>
                <w:sz w:val="18"/>
              </w:rPr>
              <w:t>A court takes cognizance only on a complaint by or under the authority of the appropriate Government</w:t>
            </w:r>
          </w:p>
        </w:tc>
        <w:tc>
          <w:tcPr>
            <w:tcW w:type="dxa" w:w="3168"/>
          </w:tcPr>
          <w:p>
            <w:pPr>
              <w:spacing w:after="40"/>
            </w:pPr>
            <w:r/>
            <w:r>
              <w:rPr>
                <w:rFonts w:ascii="Calibri" w:hAnsi="Calibri"/>
                <w:color w:val="565656"/>
                <w:sz w:val="18"/>
              </w:rPr>
              <w:t>IR Code, 2020, s.87(1)</w:t>
            </w:r>
          </w:p>
        </w:tc>
      </w:tr>
      <w:tr>
        <w:tc>
          <w:tcPr>
            <w:tcW w:type="dxa" w:w="6192"/>
          </w:tcPr>
          <w:p>
            <w:pPr>
              <w:spacing w:after="40"/>
            </w:pPr>
            <w:r/>
            <w:r>
              <w:rPr>
                <w:rFonts w:ascii="Calibri" w:hAnsi="Calibri"/>
                <w:color w:val="565656"/>
                <w:sz w:val="18"/>
              </w:rPr>
              <w:t>Rules under the Code are made by the APPROPRIATE Government</w:t>
            </w:r>
          </w:p>
        </w:tc>
        <w:tc>
          <w:tcPr>
            <w:tcW w:type="dxa" w:w="3168"/>
          </w:tcPr>
          <w:p>
            <w:pPr>
              <w:spacing w:after="40"/>
            </w:pPr>
            <w:r/>
            <w:r>
              <w:rPr>
                <w:rFonts w:ascii="Calibri" w:hAnsi="Calibri"/>
                <w:color w:val="565656"/>
                <w:sz w:val="18"/>
              </w:rPr>
              <w:t>IR Code, 2020, s.99(1)</w:t>
            </w:r>
          </w:p>
        </w:tc>
      </w:tr>
      <w:tr>
        <w:tc>
          <w:tcPr>
            <w:tcW w:type="dxa" w:w="6192"/>
          </w:tcPr>
          <w:p>
            <w:pPr>
              <w:spacing w:after="40"/>
            </w:pPr>
            <w:r/>
            <w:r>
              <w:rPr>
                <w:rFonts w:ascii="Calibri" w:hAnsi="Calibri"/>
                <w:color w:val="565656"/>
                <w:sz w:val="18"/>
              </w:rPr>
              <w:t>Which is the Centre only for railways, mines, banking, insurance, central PSUs and the like</w:t>
            </w:r>
          </w:p>
        </w:tc>
        <w:tc>
          <w:tcPr>
            <w:tcW w:type="dxa" w:w="3168"/>
          </w:tcPr>
          <w:p>
            <w:pPr>
              <w:spacing w:after="40"/>
            </w:pPr>
            <w:r/>
            <w:r>
              <w:rPr>
                <w:rFonts w:ascii="Calibri" w:hAnsi="Calibri"/>
                <w:color w:val="565656"/>
                <w:sz w:val="18"/>
              </w:rPr>
              <w:t>IR Code, 2020, s.2(b)(i)</w:t>
            </w:r>
          </w:p>
        </w:tc>
      </w:tr>
      <w:tr>
        <w:tc>
          <w:tcPr>
            <w:tcW w:type="dxa" w:w="6192"/>
          </w:tcPr>
          <w:p>
            <w:pPr>
              <w:spacing w:after="40"/>
            </w:pPr>
            <w:r/>
            <w:r>
              <w:rPr>
                <w:rFonts w:ascii="Calibri" w:hAnsi="Calibri"/>
                <w:color w:val="565656"/>
                <w:sz w:val="18"/>
              </w:rPr>
              <w:t>And the State for any other industrial establishment</w:t>
            </w:r>
          </w:p>
        </w:tc>
        <w:tc>
          <w:tcPr>
            <w:tcW w:type="dxa" w:w="3168"/>
          </w:tcPr>
          <w:p>
            <w:pPr>
              <w:spacing w:after="40"/>
            </w:pPr>
            <w:r/>
            <w:r>
              <w:rPr>
                <w:rFonts w:ascii="Calibri" w:hAnsi="Calibri"/>
                <w:color w:val="565656"/>
                <w:sz w:val="18"/>
              </w:rPr>
              <w:t>IR Code, 2020, s.2(b)(ii)</w:t>
            </w:r>
          </w:p>
        </w:tc>
      </w:tr>
      <w:tr>
        <w:tc>
          <w:tcPr>
            <w:tcW w:type="dxa" w:w="6192"/>
          </w:tcPr>
          <w:p>
            <w:pPr>
              <w:spacing w:after="40"/>
            </w:pPr>
            <w:r/>
            <w:r>
              <w:rPr>
                <w:rFonts w:ascii="Calibri" w:hAnsi="Calibri"/>
                <w:color w:val="565656"/>
                <w:sz w:val="18"/>
              </w:rPr>
              <w:t>Composition of the Grievance Committee, and who picks the worker members</w:t>
            </w:r>
          </w:p>
        </w:tc>
        <w:tc>
          <w:tcPr>
            <w:tcW w:type="dxa" w:w="3168"/>
          </w:tcPr>
          <w:p>
            <w:pPr>
              <w:spacing w:after="40"/>
            </w:pPr>
            <w:r/>
            <w:r>
              <w:rPr>
                <w:rFonts w:ascii="Calibri" w:hAnsi="Calibri"/>
                <w:color w:val="565656"/>
                <w:sz w:val="18"/>
              </w:rPr>
              <w:t>IR (Central) Rules, 2026, rule 6</w:t>
            </w:r>
          </w:p>
        </w:tc>
      </w:tr>
      <w:tr>
        <w:tc>
          <w:tcPr>
            <w:tcW w:type="dxa" w:w="6192"/>
          </w:tcPr>
          <w:p>
            <w:pPr>
              <w:spacing w:after="40"/>
            </w:pPr>
            <w:r/>
            <w:r>
              <w:rPr>
                <w:rFonts w:ascii="Calibri" w:hAnsi="Calibri"/>
                <w:color w:val="565656"/>
                <w:sz w:val="18"/>
              </w:rPr>
              <w:t>Three year term for members</w:t>
            </w:r>
          </w:p>
        </w:tc>
        <w:tc>
          <w:tcPr>
            <w:tcW w:type="dxa" w:w="3168"/>
          </w:tcPr>
          <w:p>
            <w:pPr>
              <w:spacing w:after="40"/>
            </w:pPr>
            <w:r/>
            <w:r>
              <w:rPr>
                <w:rFonts w:ascii="Calibri" w:hAnsi="Calibri"/>
                <w:color w:val="565656"/>
                <w:sz w:val="18"/>
              </w:rPr>
              <w:t>IR (Central) Rules, 2026, rule 6(4)</w:t>
            </w:r>
          </w:p>
        </w:tc>
      </w:tr>
      <w:tr>
        <w:tc>
          <w:tcPr>
            <w:tcW w:type="dxa" w:w="6192"/>
          </w:tcPr>
          <w:p>
            <w:pPr>
              <w:spacing w:after="40"/>
            </w:pPr>
            <w:r/>
            <w:r>
              <w:rPr>
                <w:rFonts w:ascii="Calibri" w:hAnsi="Calibri"/>
                <w:color w:val="565656"/>
                <w:sz w:val="18"/>
              </w:rPr>
              <w:t>Disputed choice of worker members goes to the Regional Labour Commissioner (Central)</w:t>
            </w:r>
          </w:p>
        </w:tc>
        <w:tc>
          <w:tcPr>
            <w:tcW w:type="dxa" w:w="3168"/>
          </w:tcPr>
          <w:p>
            <w:pPr>
              <w:spacing w:after="40"/>
            </w:pPr>
            <w:r/>
            <w:r>
              <w:rPr>
                <w:rFonts w:ascii="Calibri" w:hAnsi="Calibri"/>
                <w:color w:val="565656"/>
                <w:sz w:val="18"/>
              </w:rPr>
              <w:t>IR (Central) Rules, 2026, rule 6(5)</w:t>
            </w:r>
          </w:p>
        </w:tc>
      </w:tr>
      <w:tr>
        <w:tc>
          <w:tcPr>
            <w:tcW w:type="dxa" w:w="6192"/>
          </w:tcPr>
          <w:p>
            <w:pPr>
              <w:spacing w:after="40"/>
            </w:pPr>
            <w:r/>
            <w:r>
              <w:rPr>
                <w:rFonts w:ascii="Calibri" w:hAnsi="Calibri"/>
                <w:color w:val="565656"/>
                <w:sz w:val="18"/>
              </w:rPr>
              <w:t>The ten particulars a grievance application must state</w:t>
            </w:r>
          </w:p>
        </w:tc>
        <w:tc>
          <w:tcPr>
            <w:tcW w:type="dxa" w:w="3168"/>
          </w:tcPr>
          <w:p>
            <w:pPr>
              <w:spacing w:after="40"/>
            </w:pPr>
            <w:r/>
            <w:r>
              <w:rPr>
                <w:rFonts w:ascii="Calibri" w:hAnsi="Calibri"/>
                <w:color w:val="565656"/>
                <w:sz w:val="18"/>
              </w:rPr>
              <w:t>IR (Central) Rules, 2026, rule 7(1)</w:t>
            </w:r>
          </w:p>
        </w:tc>
      </w:tr>
      <w:tr>
        <w:tc>
          <w:tcPr>
            <w:tcW w:type="dxa" w:w="6192"/>
          </w:tcPr>
          <w:p>
            <w:pPr>
              <w:spacing w:after="40"/>
            </w:pPr>
            <w:r/>
            <w:r>
              <w:rPr>
                <w:rFonts w:ascii="Calibri" w:hAnsi="Calibri"/>
                <w:color w:val="565656"/>
                <w:sz w:val="18"/>
              </w:rPr>
              <w:t>The application may be sent electronically or otherwise</w:t>
            </w:r>
          </w:p>
        </w:tc>
        <w:tc>
          <w:tcPr>
            <w:tcW w:type="dxa" w:w="3168"/>
          </w:tcPr>
          <w:p>
            <w:pPr>
              <w:spacing w:after="40"/>
            </w:pPr>
            <w:r/>
            <w:r>
              <w:rPr>
                <w:rFonts w:ascii="Calibri" w:hAnsi="Calibri"/>
                <w:color w:val="565656"/>
                <w:sz w:val="18"/>
              </w:rPr>
              <w:t>IR (Central) Rules, 2026, rule 7(2)</w:t>
            </w:r>
          </w:p>
        </w:tc>
      </w:tr>
      <w:tr>
        <w:tc>
          <w:tcPr>
            <w:tcW w:type="dxa" w:w="6192"/>
          </w:tcPr>
          <w:p>
            <w:pPr>
              <w:spacing w:after="40"/>
            </w:pPr>
            <w:r/>
            <w:r>
              <w:rPr>
                <w:rFonts w:ascii="Calibri" w:hAnsi="Calibri"/>
                <w:color w:val="565656"/>
                <w:sz w:val="18"/>
              </w:rPr>
              <w:t>Filed within one year of the cause of action</w:t>
            </w:r>
          </w:p>
        </w:tc>
        <w:tc>
          <w:tcPr>
            <w:tcW w:type="dxa" w:w="3168"/>
          </w:tcPr>
          <w:p>
            <w:pPr>
              <w:spacing w:after="40"/>
            </w:pPr>
            <w:r/>
            <w:r>
              <w:rPr>
                <w:rFonts w:ascii="Calibri" w:hAnsi="Calibri"/>
                <w:color w:val="565656"/>
                <w:sz w:val="18"/>
              </w:rPr>
              <w:t>IR (Central) Rules, 2026, rule 7(3)</w:t>
            </w:r>
          </w:p>
        </w:tc>
      </w:tr>
      <w:tr>
        <w:tc>
          <w:tcPr>
            <w:tcW w:type="dxa" w:w="6192"/>
          </w:tcPr>
          <w:p>
            <w:pPr>
              <w:spacing w:after="40"/>
            </w:pPr>
            <w:r/>
            <w:r>
              <w:rPr>
                <w:rFonts w:ascii="Calibri" w:hAnsi="Calibri"/>
                <w:color w:val="565656"/>
                <w:sz w:val="18"/>
              </w:rPr>
              <w:t>Escalation online on the Ministry portal, by speed post or in person</w:t>
            </w:r>
          </w:p>
        </w:tc>
        <w:tc>
          <w:tcPr>
            <w:tcW w:type="dxa" w:w="3168"/>
          </w:tcPr>
          <w:p>
            <w:pPr>
              <w:spacing w:after="40"/>
            </w:pPr>
            <w:r/>
            <w:r>
              <w:rPr>
                <w:rFonts w:ascii="Calibri" w:hAnsi="Calibri"/>
                <w:color w:val="565656"/>
                <w:sz w:val="18"/>
              </w:rPr>
              <w:t>IR (Central) Rules, 2026, rule 8</w:t>
            </w:r>
          </w:p>
        </w:tc>
      </w:tr>
    </w:tbl>
    <w:p>
      <w:pPr>
        <w:keepNext w:val="0"/>
        <w:spacing w:after="200" w:before="0"/>
      </w:pPr>
      <w:r>
        <w:rPr>
          <w:rFonts w:ascii="Calibri" w:hAnsi="Calibri"/>
          <w:b w:val="0"/>
          <w:i w:val="0"/>
          <w:color w:val="1D1D1D"/>
          <w:sz w:val="21"/>
        </w:rPr>
      </w:r>
    </w:p>
    <w:p>
      <w:pPr>
        <w:keepNext w:val="0"/>
        <w:spacing w:after="160" w:before="0"/>
      </w:pPr>
      <w:r>
        <w:rPr>
          <w:rFonts w:ascii="Calibri" w:hAnsi="Calibri"/>
          <w:b w:val="0"/>
          <w:i/>
          <w:color w:val="565656"/>
          <w:sz w:val="18"/>
        </w:rPr>
        <w:t>Both gazettes were read at the cited provision on 24-Sep-2026, not quoted from commentary. The Industrial Relations (Central) Rules, 2026 are G.S.R. 342(E) dated 08-May-2026, Gazette ID CG-DL-E-08052026-272336, made under section 99(1) of the Code, and rule 1(2) brings them into force on the date of their publication in the Gazette.</w:t>
      </w:r>
    </w:p>
    <w:p>
      <w:pPr>
        <w:keepNext w:val="0"/>
        <w:spacing w:after="120" w:before="0"/>
      </w:pPr>
      <w:r>
        <w:rPr>
          <w:rFonts w:ascii="Calibri" w:hAnsi="Calibri"/>
          <w:b w:val="0"/>
          <w:i/>
          <w:color w:val="565656"/>
          <w:sz w:val="18"/>
        </w:rPr>
        <w:t>This pack is general information about a central statute and the Central Government's rules under it, not legal advice on your establishment. Section 4 of the Code binds every industrial establishment employing twenty or more workers. The rules quoted here, rules 6 to 8 of the Industrial Relations (Central) Rules, 2026, are the appropriate Government's prescription where that government is the CENTRE, which section 2(b)(i) confines to railways, mines, oil fields, major ports, air transport, telecommunication, banking, insurance, central public sector undertakings and the like. If your establishment is not one of those, section 2(b)(ii) makes your State the appropriate Government and its rules under section 99 prescribe the manner instead. Check them before you rely on any procedure in this pack.</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Grievance Redressal Committee Pack  ·  reviewed 24-Sep-2026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Redressal Committee Policy and Formats</dc:title>
  <dc:subject/>
  <dc:creator>Attendo</dc:creator>
  <cp:keywords/>
  <dc:description>Built on section 4 of the Industrial Relations Code, 2020 and rules 6 to 8 of the Industrial Relations (Central) Rules, 2026. Reviewed 24-Sep-2026.</dc:description>
  <cp:lastModifiedBy/>
  <cp:revision>1</cp:revision>
  <dcterms:created xsi:type="dcterms:W3CDTF">2013-12-23T23:15:00Z</dcterms:created>
  <dcterms:modified xsi:type="dcterms:W3CDTF">2013-12-23T23:15:00Z</dcterms:modified>
  <cp:category/>
</cp:coreProperties>
</file>