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52"/>
        </w:rPr>
        <w:t>Fixed Term Employment and Gratuity Templates</w:t>
      </w:r>
    </w:p>
    <w:p>
      <w:pPr>
        <w:keepNext w:val="0"/>
        <w:spacing w:after="320" w:before="0"/>
      </w:pPr>
      <w:r>
        <w:rPr>
          <w:rFonts w:ascii="Calibri" w:hAnsi="Calibri"/>
          <w:b w:val="0"/>
          <w:i w:val="0"/>
          <w:color w:val="565656"/>
          <w:sz w:val="26"/>
        </w:rPr>
        <w:t>Built on section 53 of the Code on Social Security, 2020</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w:t>
      </w:r>
    </w:p>
    <w:p>
      <w:pPr>
        <w:keepNext w:val="0"/>
        <w:spacing w:after="60" w:before="0"/>
        <w:ind w:left="360"/>
      </w:pPr>
      <w:r>
        <w:rPr>
          <w:rFonts w:ascii="Calibri" w:hAnsi="Calibri"/>
          <w:b w:val="0"/>
          <w:i w:val="0"/>
          <w:color w:val="565656"/>
          <w:sz w:val="21"/>
        </w:rPr>
        <w:t>•  Gratuity at the end of the contract, not at five years</w:t>
      </w:r>
    </w:p>
    <w:p>
      <w:pPr>
        <w:keepNext w:val="0"/>
        <w:spacing w:after="60" w:before="0"/>
        <w:ind w:left="360"/>
      </w:pPr>
      <w:r>
        <w:rPr>
          <w:rFonts w:ascii="Calibri" w:hAnsi="Calibri"/>
          <w:b w:val="0"/>
          <w:i w:val="0"/>
          <w:color w:val="565656"/>
          <w:sz w:val="21"/>
        </w:rPr>
        <w:t>•  Years counted with the six-month rounding rule</w:t>
      </w:r>
    </w:p>
    <w:p>
      <w:pPr>
        <w:keepNext w:val="0"/>
        <w:spacing w:after="60" w:before="0"/>
        <w:ind w:left="360"/>
      </w:pPr>
      <w:r>
        <w:rPr>
          <w:rFonts w:ascii="Calibri" w:hAnsi="Calibri"/>
          <w:b w:val="0"/>
          <w:i w:val="0"/>
          <w:color w:val="565656"/>
          <w:sz w:val="21"/>
        </w:rPr>
        <w:t>•  Six formats, from the contract to the Form-V notice</w:t>
      </w:r>
    </w:p>
    <w:p>
      <w:pPr>
        <w:keepNext w:val="0"/>
        <w:spacing w:after="60" w:before="0"/>
        <w:ind w:left="360"/>
      </w:pPr>
      <w:r>
        <w:rPr>
          <w:rFonts w:ascii="Calibri" w:hAnsi="Calibri"/>
          <w:b w:val="0"/>
          <w:i w:val="0"/>
          <w:color w:val="565656"/>
          <w:sz w:val="21"/>
        </w:rPr>
        <w:t>•  A worksheet for the years and for the wage the Code defines</w:t>
      </w:r>
    </w:p>
    <w:p>
      <w:pPr>
        <w:keepNext w:val="0"/>
        <w:spacing w:after="60" w:before="0"/>
        <w:ind w:left="360"/>
      </w:pPr>
      <w:r>
        <w:rPr>
          <w:rFonts w:ascii="Calibri" w:hAnsi="Calibri"/>
          <w:b w:val="0"/>
          <w:i w:val="0"/>
          <w:color w:val="565656"/>
          <w:sz w:val="21"/>
        </w:rPr>
        <w:t>•  Seven mistakes, twelve checks and twenty-four citations</w:t>
      </w:r>
    </w:p>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8"/>
        </w:rPr>
        <w:t>From Attendo (formerly Petpooja Payroll). Reviewed 01-Oct-2026. Read from the gazette, not from commentary.</w:t>
      </w:r>
    </w:p>
    <w:p>
      <w:r>
        <w:br w:type="page"/>
      </w:r>
    </w:p>
    <w:p>
      <w:pPr>
        <w:pStyle w:val="Heading1"/>
        <w:keepNext/>
        <w:spacing w:after="200" w:before="80"/>
        <w:ind w:left="115"/>
        <w:shd w:val="clear" w:fill="008CDB"/>
      </w:pPr>
      <w:r>
        <w:rPr>
          <w:rFonts w:ascii="Calibri" w:hAnsi="Calibri"/>
          <w:b/>
          <w:color w:val="FFFFFF"/>
          <w:sz w:val="22"/>
        </w:rPr>
        <w:t>CONTENTS</w:t>
      </w:r>
    </w:p>
    <w:p>
      <w:pPr>
        <w:spacing w:after="80"/>
      </w:pPr>
      <w:r>
        <w:rPr>
          <w:rFonts w:ascii="Calibri" w:hAnsi="Calibri"/>
          <w:b/>
          <w:color w:val="0069A4"/>
          <w:sz w:val="20"/>
        </w:rPr>
        <w:t xml:space="preserve">1.  </w:t>
      </w:r>
      <w:r>
        <w:rPr>
          <w:rFonts w:ascii="Calibri" w:hAnsi="Calibri"/>
          <w:color w:val="1D1D1D"/>
          <w:sz w:val="20"/>
        </w:rPr>
        <w:t>Who this reaches</w:t>
      </w:r>
    </w:p>
    <w:p>
      <w:pPr>
        <w:spacing w:after="80"/>
      </w:pPr>
      <w:r>
        <w:rPr>
          <w:rFonts w:ascii="Calibri" w:hAnsi="Calibri"/>
          <w:b/>
          <w:color w:val="0069A4"/>
          <w:sz w:val="20"/>
        </w:rPr>
        <w:t xml:space="preserve">2.  </w:t>
      </w:r>
      <w:r>
        <w:rPr>
          <w:rFonts w:ascii="Calibri" w:hAnsi="Calibri"/>
          <w:color w:val="1D1D1D"/>
          <w:sz w:val="20"/>
        </w:rPr>
        <w:t>What the Codes say about fixed term gratuity</w:t>
      </w:r>
    </w:p>
    <w:p>
      <w:pPr>
        <w:spacing w:after="80"/>
      </w:pPr>
      <w:r>
        <w:rPr>
          <w:rFonts w:ascii="Calibri" w:hAnsi="Calibri"/>
          <w:b/>
          <w:color w:val="0069A4"/>
          <w:sz w:val="20"/>
        </w:rPr>
        <w:t xml:space="preserve">3.  </w:t>
      </w:r>
      <w:r>
        <w:rPr>
          <w:rFonts w:ascii="Calibri" w:hAnsi="Calibri"/>
          <w:color w:val="1D1D1D"/>
          <w:sz w:val="20"/>
        </w:rPr>
        <w:t>The wage the gratuity runs on</w:t>
      </w:r>
    </w:p>
    <w:p>
      <w:pPr>
        <w:spacing w:after="80"/>
      </w:pPr>
      <w:r>
        <w:rPr>
          <w:rFonts w:ascii="Calibri" w:hAnsi="Calibri"/>
          <w:b/>
          <w:color w:val="0069A4"/>
          <w:sz w:val="20"/>
        </w:rPr>
        <w:t xml:space="preserve">4.  </w:t>
      </w:r>
      <w:r>
        <w:rPr>
          <w:rFonts w:ascii="Calibri" w:hAnsi="Calibri"/>
          <w:color w:val="1D1D1D"/>
          <w:sz w:val="20"/>
        </w:rPr>
        <w:t>Paying it, and what not paying costs</w:t>
      </w:r>
    </w:p>
    <w:p>
      <w:pPr>
        <w:spacing w:after="80"/>
      </w:pPr>
      <w:r>
        <w:rPr>
          <w:rFonts w:ascii="Calibri" w:hAnsi="Calibri"/>
          <w:b/>
          <w:color w:val="0069A4"/>
          <w:sz w:val="20"/>
        </w:rPr>
        <w:t xml:space="preserve">5.  </w:t>
      </w:r>
      <w:r>
        <w:rPr>
          <w:rFonts w:ascii="Calibri" w:hAnsi="Calibri"/>
          <w:color w:val="1D1D1D"/>
          <w:sz w:val="20"/>
        </w:rPr>
        <w:t>Two questions this pack leaves open</w:t>
      </w:r>
    </w:p>
    <w:p>
      <w:pPr>
        <w:spacing w:after="80"/>
      </w:pPr>
      <w:r>
        <w:rPr>
          <w:rFonts w:ascii="Calibri" w:hAnsi="Calibri"/>
          <w:b/>
          <w:color w:val="0069A4"/>
          <w:sz w:val="20"/>
        </w:rPr>
        <w:t xml:space="preserve">6.  </w:t>
      </w:r>
      <w:r>
        <w:rPr>
          <w:rFonts w:ascii="Calibri" w:hAnsi="Calibri"/>
          <w:color w:val="1D1D1D"/>
          <w:sz w:val="20"/>
        </w:rPr>
        <w:t>Six formats, and when to use each</w:t>
      </w:r>
    </w:p>
    <w:p>
      <w:pPr>
        <w:spacing w:after="80"/>
      </w:pPr>
      <w:r>
        <w:rPr>
          <w:rFonts w:ascii="Calibri" w:hAnsi="Calibri"/>
          <w:b/>
          <w:color w:val="0069A4"/>
          <w:sz w:val="20"/>
        </w:rPr>
        <w:t xml:space="preserve">7.  </w:t>
      </w:r>
      <w:r>
        <w:rPr>
          <w:rFonts w:ascii="Calibri" w:hAnsi="Calibri"/>
          <w:color w:val="1D1D1D"/>
          <w:sz w:val="20"/>
        </w:rPr>
        <w:t>The formats</w:t>
      </w:r>
    </w:p>
    <w:p>
      <w:pPr>
        <w:spacing w:after="80"/>
      </w:pPr>
      <w:r>
        <w:rPr>
          <w:rFonts w:ascii="Calibri" w:hAnsi="Calibri"/>
          <w:b/>
          <w:color w:val="0069A4"/>
          <w:sz w:val="20"/>
        </w:rPr>
        <w:t xml:space="preserve">8.  </w:t>
      </w:r>
      <w:r>
        <w:rPr>
          <w:rFonts w:ascii="Calibri" w:hAnsi="Calibri"/>
          <w:color w:val="1D1D1D"/>
          <w:sz w:val="20"/>
        </w:rPr>
        <w:t>Seven mistakes employers make</w:t>
      </w:r>
    </w:p>
    <w:p>
      <w:pPr>
        <w:spacing w:after="80"/>
      </w:pPr>
      <w:r>
        <w:rPr>
          <w:rFonts w:ascii="Calibri" w:hAnsi="Calibri"/>
          <w:b/>
          <w:color w:val="0069A4"/>
          <w:sz w:val="20"/>
        </w:rPr>
        <w:t xml:space="preserve">9.  </w:t>
      </w:r>
      <w:r>
        <w:rPr>
          <w:rFonts w:ascii="Calibri" w:hAnsi="Calibri"/>
          <w:color w:val="1D1D1D"/>
          <w:sz w:val="20"/>
        </w:rPr>
        <w:t>Twelve checks, and where every line comes from</w:t>
      </w:r>
    </w:p>
    <w:p>
      <w:pPr>
        <w:keepNext w:val="0"/>
        <w:spacing w:after="160" w:before="0"/>
      </w:pPr>
      <w:r>
        <w:rPr>
          <w:rFonts w:ascii="Calibri" w:hAnsi="Calibri"/>
          <w:b w:val="0"/>
          <w:i w:val="0"/>
          <w:color w:val="1D1D1D"/>
          <w:sz w:val="21"/>
        </w:rPr>
      </w:r>
    </w:p>
    <w:p>
      <w:pPr>
        <w:keepNext w:val="0"/>
        <w:spacing w:after="160" w:before="0"/>
        <w:ind w:left="216"/>
        <w:shd w:val="clear" w:fill="F4FAFE"/>
      </w:pPr>
      <w:r>
        <w:rPr>
          <w:rFonts w:ascii="Calibri" w:hAnsi="Calibri"/>
          <w:b w:val="0"/>
          <w:i w:val="0"/>
          <w:color w:val="1D1D1D"/>
          <w:sz w:val="20"/>
        </w:rPr>
        <w:t>In a hurry? Go straight to section 7 for the six formats. A contract is ending: Format 04 to work out the gratuity, then Format 03 and Format 05. Hiring: Format 01 and Format 06. Sections 1 to 5 explain why the formats say what they say.</w:t>
      </w:r>
    </w:p>
    <w:p>
      <w:r>
        <w:br w:type="page"/>
      </w:r>
    </w:p>
    <w:p>
      <w:pPr>
        <w:pStyle w:val="Heading1"/>
        <w:keepNext/>
        <w:spacing w:after="200" w:before="80"/>
        <w:ind w:left="115"/>
        <w:shd w:val="clear" w:fill="008CDB"/>
      </w:pPr>
      <w:r>
        <w:rPr>
          <w:rFonts w:ascii="Calibri" w:hAnsi="Calibri"/>
          <w:b/>
          <w:color w:val="FFFFFF"/>
          <w:sz w:val="22"/>
        </w:rPr>
        <w:t>1.  WHO THIS REACHES</w:t>
      </w:r>
    </w:p>
    <w:p>
      <w:pPr>
        <w:keepNext w:val="0"/>
        <w:spacing w:after="160" w:before="0"/>
      </w:pPr>
      <w:r>
        <w:rPr>
          <w:rFonts w:ascii="Calibri" w:hAnsi="Calibri"/>
          <w:b w:val="0"/>
          <w:i w:val="0"/>
          <w:color w:val="565656"/>
          <w:sz w:val="20"/>
        </w:rPr>
        <w:t>Four layers. The one-year rule comes from two instruments with two different reaches, and collapsing them is the usual error.</w:t>
      </w:r>
    </w:p>
    <w:tbl>
      <w:tblPr>
        <w:tblStyle w:val="TableGrid"/>
        <w:tblW w:type="auto" w:w="0"/>
        <w:tblLook w:firstColumn="1" w:firstRow="1" w:lastColumn="0" w:lastRow="0" w:noHBand="0" w:noVBand="1" w:val="04A0"/>
      </w:tblPr>
      <w:tblGrid>
        <w:gridCol w:w="3216"/>
        <w:gridCol w:w="3216"/>
        <w:gridCol w:w="3216"/>
      </w:tblGrid>
      <w:tr>
        <w:tc>
          <w:tcPr>
            <w:tcW w:type="dxa" w:w="2880"/>
          </w:tcPr>
          <w:p>
            <w:pPr>
              <w:spacing w:after="40"/>
              <w:shd w:val="clear" w:fill="E8F4FC"/>
            </w:pPr>
            <w:r/>
            <w:r>
              <w:rPr>
                <w:rFonts w:ascii="Calibri" w:hAnsi="Calibri"/>
                <w:b/>
                <w:color w:val="0069A4"/>
                <w:sz w:val="18"/>
              </w:rPr>
              <w:t>The layer</w:t>
            </w:r>
          </w:p>
        </w:tc>
        <w:tc>
          <w:tcPr>
            <w:tcW w:type="dxa" w:w="4752"/>
          </w:tcPr>
          <w:p>
            <w:pPr>
              <w:spacing w:after="40"/>
              <w:shd w:val="clear" w:fill="E8F4FC"/>
            </w:pPr>
            <w:r/>
            <w:r>
              <w:rPr>
                <w:rFonts w:ascii="Calibri" w:hAnsi="Calibri"/>
                <w:b/>
                <w:color w:val="0069A4"/>
                <w:sz w:val="18"/>
              </w:rPr>
              <w:t>What it means</w:t>
            </w:r>
          </w:p>
        </w:tc>
        <w:tc>
          <w:tcPr>
            <w:tcW w:type="dxa" w:w="2016"/>
          </w:tcPr>
          <w:p>
            <w:pPr>
              <w:spacing w:after="40"/>
              <w:shd w:val="clear" w:fill="E8F4FC"/>
            </w:pPr>
            <w:r/>
            <w:r>
              <w:rPr>
                <w:rFonts w:ascii="Calibri" w:hAnsi="Calibri"/>
                <w:b/>
                <w:color w:val="0069A4"/>
                <w:sz w:val="18"/>
              </w:rPr>
              <w:t>Provision</w:t>
            </w:r>
          </w:p>
        </w:tc>
      </w:tr>
      <w:tr>
        <w:tc>
          <w:tcPr>
            <w:tcW w:type="dxa" w:w="2880"/>
          </w:tcPr>
          <w:p>
            <w:pPr>
              <w:spacing w:after="40"/>
            </w:pPr>
            <w:r/>
            <w:r>
              <w:rPr>
                <w:rFonts w:ascii="Calibri" w:hAnsi="Calibri"/>
                <w:color w:val="565656"/>
                <w:sz w:val="18"/>
              </w:rPr>
              <w:t>A WRITTEN contract for a FIXED period</w:t>
            </w:r>
          </w:p>
        </w:tc>
        <w:tc>
          <w:tcPr>
            <w:tcW w:type="dxa" w:w="4752"/>
          </w:tcPr>
          <w:p>
            <w:pPr>
              <w:spacing w:after="40"/>
            </w:pPr>
            <w:r/>
            <w:r>
              <w:rPr>
                <w:rFonts w:ascii="Calibri" w:hAnsi="Calibri"/>
                <w:color w:val="565656"/>
                <w:sz w:val="18"/>
              </w:rPr>
              <w:t>Both Codes define fixed term employment as engagement on the basis of a written contract of employment for a fixed period. Without the writing there is no fixed term employment, only ordinary employment, and its end is not the completion of a tenure.</w:t>
            </w:r>
          </w:p>
        </w:tc>
        <w:tc>
          <w:tcPr>
            <w:tcW w:type="dxa" w:w="2016"/>
          </w:tcPr>
          <w:p>
            <w:pPr>
              <w:spacing w:after="40"/>
            </w:pPr>
            <w:r/>
            <w:r>
              <w:rPr>
                <w:rFonts w:ascii="Calibri" w:hAnsi="Calibri"/>
                <w:color w:val="565656"/>
                <w:sz w:val="18"/>
              </w:rPr>
              <w:t>SS Code, s.2(34); IR Code, s.2(o)</w:t>
            </w:r>
          </w:p>
        </w:tc>
      </w:tr>
      <w:tr>
        <w:tc>
          <w:tcPr>
            <w:tcW w:type="dxa" w:w="2880"/>
          </w:tcPr>
          <w:p>
            <w:pPr>
              <w:spacing w:after="40"/>
            </w:pPr>
            <w:r/>
            <w:r>
              <w:rPr>
                <w:rFonts w:ascii="Calibri" w:hAnsi="Calibri"/>
                <w:color w:val="565656"/>
                <w:sz w:val="18"/>
              </w:rPr>
              <w:t>Parity with a permanent employee</w:t>
            </w:r>
          </w:p>
        </w:tc>
        <w:tc>
          <w:tcPr>
            <w:tcW w:type="dxa" w:w="4752"/>
          </w:tcPr>
          <w:p>
            <w:pPr>
              <w:spacing w:after="40"/>
            </w:pPr>
            <w:r/>
            <w:r>
              <w:rPr>
                <w:rFonts w:ascii="Calibri" w:hAnsi="Calibri"/>
                <w:color w:val="565656"/>
                <w:sz w:val="18"/>
              </w:rPr>
              <w:t>Hours of work, wages, allowances and other benefits not less than a permanent employee doing the same work or work of a similar nature, and all statutory benefits proportionately even where the period is shorter than the qualifying period.</w:t>
            </w:r>
          </w:p>
        </w:tc>
        <w:tc>
          <w:tcPr>
            <w:tcW w:type="dxa" w:w="2016"/>
          </w:tcPr>
          <w:p>
            <w:pPr>
              <w:spacing w:after="40"/>
            </w:pPr>
            <w:r/>
            <w:r>
              <w:rPr>
                <w:rFonts w:ascii="Calibri" w:hAnsi="Calibri"/>
                <w:color w:val="565656"/>
                <w:sz w:val="18"/>
              </w:rPr>
              <w:t>SS Code, s.2(34)(a) and (b); IR Code, s.2(o)(a) and (b)</w:t>
            </w:r>
          </w:p>
        </w:tc>
      </w:tr>
      <w:tr>
        <w:tc>
          <w:tcPr>
            <w:tcW w:type="dxa" w:w="2880"/>
          </w:tcPr>
          <w:p>
            <w:pPr>
              <w:spacing w:after="40"/>
            </w:pPr>
            <w:r/>
            <w:r>
              <w:rPr>
                <w:rFonts w:ascii="Calibri" w:hAnsi="Calibri"/>
                <w:color w:val="565656"/>
                <w:sz w:val="18"/>
              </w:rPr>
              <w:t>One year: a WORKER, under the IR Code, everywhere</w:t>
            </w:r>
          </w:p>
        </w:tc>
        <w:tc>
          <w:tcPr>
            <w:tcW w:type="dxa" w:w="4752"/>
          </w:tcPr>
          <w:p>
            <w:pPr>
              <w:spacing w:after="40"/>
            </w:pPr>
            <w:r/>
            <w:r>
              <w:rPr>
                <w:rFonts w:ascii="Calibri" w:hAnsi="Calibri"/>
                <w:color w:val="565656"/>
                <w:sz w:val="18"/>
              </w:rPr>
              <w:t>A fixed term worker is eligible for gratuity on one year under the contract. The IR Code binds every employer, but only for a worker: not the mainly managerial, and not a supervisor drawing wages above ₹18,000 a month or another amount the Centre notifies.</w:t>
            </w:r>
          </w:p>
        </w:tc>
        <w:tc>
          <w:tcPr>
            <w:tcW w:type="dxa" w:w="2016"/>
          </w:tcPr>
          <w:p>
            <w:pPr>
              <w:spacing w:after="40"/>
            </w:pPr>
            <w:r/>
            <w:r>
              <w:rPr>
                <w:rFonts w:ascii="Calibri" w:hAnsi="Calibri"/>
                <w:color w:val="565656"/>
                <w:sz w:val="18"/>
              </w:rPr>
              <w:t>IR Code, s.2(o)(c) with s.2(zr)</w:t>
            </w:r>
          </w:p>
        </w:tc>
      </w:tr>
      <w:tr>
        <w:tc>
          <w:tcPr>
            <w:tcW w:type="dxa" w:w="2880"/>
          </w:tcPr>
          <w:p>
            <w:pPr>
              <w:spacing w:after="40"/>
            </w:pPr>
            <w:r/>
            <w:r>
              <w:rPr>
                <w:rFonts w:ascii="Calibri" w:hAnsi="Calibri"/>
                <w:color w:val="565656"/>
                <w:sz w:val="18"/>
              </w:rPr>
              <w:t>One year with six-month rounding: an EMPLOYEE, in the Central sphere</w:t>
            </w:r>
          </w:p>
        </w:tc>
        <w:tc>
          <w:tcPr>
            <w:tcW w:type="dxa" w:w="4752"/>
          </w:tcPr>
          <w:p>
            <w:pPr>
              <w:spacing w:after="40"/>
            </w:pPr>
            <w:r/>
            <w:r>
              <w:rPr>
                <w:rFonts w:ascii="Calibri" w:hAnsi="Calibri"/>
                <w:color w:val="565656"/>
                <w:sz w:val="18"/>
              </w:rPr>
              <w:t>Rule 33 reaches every employee, managers included, where the Central Government is the appropriate Government. Under SS s.2(3)(a) that is its own listed sectors AND any establishment with departments or branches in more than one State.</w:t>
            </w:r>
          </w:p>
        </w:tc>
        <w:tc>
          <w:tcPr>
            <w:tcW w:type="dxa" w:w="2016"/>
          </w:tcPr>
          <w:p>
            <w:pPr>
              <w:spacing w:after="40"/>
            </w:pPr>
            <w:r/>
            <w:r>
              <w:rPr>
                <w:rFonts w:ascii="Calibri" w:hAnsi="Calibri"/>
                <w:color w:val="565656"/>
                <w:sz w:val="18"/>
              </w:rPr>
              <w:t>SS Rules, rule 33(1)(a); SS Code, s.2(3)(a)</w:t>
            </w:r>
          </w:p>
        </w:tc>
      </w:tr>
    </w:tbl>
    <w:p>
      <w:pPr>
        <w:keepNext w:val="0"/>
        <w:spacing w:after="160" w:before="0"/>
      </w:pPr>
      <w:r>
        <w:rPr>
          <w:rFonts w:ascii="Calibri" w:hAnsi="Calibri"/>
          <w:b w:val="0"/>
          <w:i w:val="0"/>
          <w:color w:val="1D1D1D"/>
          <w:sz w:val="21"/>
        </w:rPr>
      </w:r>
    </w:p>
    <w:p>
      <w:pPr>
        <w:keepNext w:val="0"/>
        <w:spacing w:after="160" w:before="0"/>
        <w:ind w:left="216"/>
        <w:shd w:val="clear" w:fill="FFF8E8"/>
      </w:pPr>
      <w:r>
        <w:rPr>
          <w:rFonts w:ascii="Calibri" w:hAnsi="Calibri"/>
          <w:b w:val="0"/>
          <w:i w:val="0"/>
          <w:color w:val="1D1D1D"/>
          <w:sz w:val="20"/>
        </w:rPr>
        <w:t>So for a single-State private employer, rule 33 does not bind; the IR Code still gives a fixed term worker gratuity at one year; and for a manager on a fixed term there, the Code sets no floor of its own and your State's rules may. A multi-State employer has rule 33 for everyone.</w:t>
      </w:r>
    </w:p>
    <w:p>
      <w:pPr>
        <w:spacing w:after="120"/>
        <w:ind w:left="288"/>
      </w:pPr>
      <w:r>
        <w:rPr>
          <w:rFonts w:ascii="Calibri" w:hAnsi="Calibri"/>
          <w:b/>
          <w:color w:val="0069A4"/>
          <w:sz w:val="17"/>
        </w:rPr>
        <w:t xml:space="preserve">Rests on  </w:t>
      </w:r>
      <w:r>
        <w:rPr>
          <w:rFonts w:ascii="Calibri" w:hAnsi="Calibri"/>
          <w:i/>
          <w:color w:val="565656"/>
          <w:sz w:val="17"/>
        </w:rPr>
        <w:t>Code on Social Security, 2020, s.2(3)(a) and s.2(34); IR Code, 2020, s.2(o) and s.2(zr); Social Security (Central) Rules, 2026, rule 33</w:t>
      </w:r>
    </w:p>
    <w:p>
      <w:r>
        <w:br w:type="page"/>
      </w:r>
    </w:p>
    <w:p>
      <w:pPr>
        <w:pStyle w:val="Heading1"/>
        <w:keepNext/>
        <w:spacing w:after="200" w:before="80"/>
        <w:ind w:left="115"/>
        <w:shd w:val="clear" w:fill="008CDB"/>
      </w:pPr>
      <w:r>
        <w:rPr>
          <w:rFonts w:ascii="Calibri" w:hAnsi="Calibri"/>
          <w:b/>
          <w:color w:val="FFFFFF"/>
          <w:sz w:val="22"/>
        </w:rPr>
        <w:t>2.  WHAT THE CODES SAY ABOUT FIXED TERM GRATUITY</w:t>
      </w:r>
    </w:p>
    <w:p>
      <w:pPr>
        <w:pStyle w:val="Heading2"/>
        <w:keepNext/>
        <w:spacing w:after="60" w:before="160"/>
      </w:pPr>
      <w:r>
        <w:rPr>
          <w:rFonts w:ascii="Calibri" w:hAnsi="Calibri"/>
          <w:b/>
          <w:color w:val="1D1D1D"/>
          <w:sz w:val="21"/>
        </w:rPr>
        <w:t>Due at the end of the contract</w:t>
      </w:r>
    </w:p>
    <w:p>
      <w:pPr>
        <w:keepNext w:val="0"/>
        <w:spacing w:after="160" w:before="0"/>
      </w:pPr>
      <w:r>
        <w:rPr>
          <w:rFonts w:ascii="Calibri" w:hAnsi="Calibri"/>
          <w:b w:val="0"/>
          <w:i w:val="0"/>
          <w:color w:val="1D1D1D"/>
          <w:sz w:val="20"/>
        </w:rPr>
        <w:t>Section 53(1) makes gratuity payable on termination after five years of continuous service, and clause (d) names "termination of his contract period under fixed term employment" as one of the events. Its second proviso then says the completion of continuous service of five years shall not be necessary where termination is due to expiration of fixed term employment.</w:t>
      </w:r>
    </w:p>
    <w:p>
      <w:pPr>
        <w:pStyle w:val="Heading2"/>
        <w:keepNext/>
        <w:spacing w:after="60" w:before="160"/>
      </w:pPr>
      <w:r>
        <w:rPr>
          <w:rFonts w:ascii="Calibri" w:hAnsi="Calibri"/>
          <w:b/>
          <w:color w:val="1D1D1D"/>
          <w:sz w:val="21"/>
        </w:rPr>
        <w:t>Paid pro rata, and counted in years</w:t>
      </w:r>
    </w:p>
    <w:p>
      <w:pPr>
        <w:keepNext w:val="0"/>
        <w:spacing w:after="160" w:before="0"/>
      </w:pPr>
      <w:r>
        <w:rPr>
          <w:rFonts w:ascii="Calibri" w:hAnsi="Calibri"/>
          <w:b w:val="0"/>
          <w:i w:val="0"/>
          <w:color w:val="1D1D1D"/>
          <w:sz w:val="20"/>
        </w:rPr>
        <w:t>Section 53(2) pays fifteen days' wages for every completed year of service or part of a year in excess of six months, and its third proviso says that for an employee on fixed term employment the employer shall pay gratuity on a pro rata basis. Rule 33(1)(a) of the Social Security (Central) Rules, 2026 says how: a fixed term employee is eligible if they render service under the contract for at least one year, and a subsequent period in excess of six months but less than a year is rounded off to one additional year.</w:t>
      </w:r>
    </w:p>
    <w:tbl>
      <w:tblPr>
        <w:tblStyle w:val="TableGrid"/>
        <w:tblW w:type="auto" w:w="0"/>
        <w:tblLook w:firstColumn="1" w:firstRow="1" w:lastColumn="0" w:lastRow="0" w:noHBand="0" w:noVBand="1" w:val="04A0"/>
      </w:tblPr>
      <w:tblGrid>
        <w:gridCol w:w="3216"/>
        <w:gridCol w:w="3216"/>
        <w:gridCol w:w="3216"/>
      </w:tblGrid>
      <w:tr>
        <w:tc>
          <w:tcPr>
            <w:tcW w:type="dxa" w:w="3456"/>
          </w:tcPr>
          <w:p>
            <w:pPr>
              <w:spacing w:after="40"/>
              <w:shd w:val="clear" w:fill="E8F4FC"/>
            </w:pPr>
            <w:r/>
            <w:r>
              <w:rPr>
                <w:rFonts w:ascii="Calibri" w:hAnsi="Calibri"/>
                <w:b/>
                <w:color w:val="0069A4"/>
                <w:sz w:val="18"/>
              </w:rPr>
              <w:t>Service under the contract</w:t>
            </w:r>
          </w:p>
        </w:tc>
        <w:tc>
          <w:tcPr>
            <w:tcW w:type="dxa" w:w="2016"/>
          </w:tcPr>
          <w:p>
            <w:pPr>
              <w:spacing w:after="40"/>
              <w:shd w:val="clear" w:fill="E8F4FC"/>
            </w:pPr>
            <w:r/>
            <w:r>
              <w:rPr>
                <w:rFonts w:ascii="Calibri" w:hAnsi="Calibri"/>
                <w:b/>
                <w:color w:val="0069A4"/>
                <w:sz w:val="18"/>
              </w:rPr>
              <w:t>Years counted</w:t>
            </w:r>
          </w:p>
        </w:tc>
        <w:tc>
          <w:tcPr>
            <w:tcW w:type="dxa" w:w="4176"/>
          </w:tcPr>
          <w:p>
            <w:pPr>
              <w:spacing w:after="40"/>
              <w:shd w:val="clear" w:fill="E8F4FC"/>
            </w:pPr>
            <w:r/>
            <w:r>
              <w:rPr>
                <w:rFonts w:ascii="Calibri" w:hAnsi="Calibri"/>
                <w:b/>
                <w:color w:val="0069A4"/>
                <w:sz w:val="18"/>
              </w:rPr>
              <w:t>Why</w:t>
            </w:r>
          </w:p>
        </w:tc>
      </w:tr>
      <w:tr>
        <w:tc>
          <w:tcPr>
            <w:tcW w:type="dxa" w:w="3456"/>
          </w:tcPr>
          <w:p>
            <w:pPr>
              <w:spacing w:after="40"/>
            </w:pPr>
            <w:r/>
            <w:r>
              <w:rPr>
                <w:rFonts w:ascii="Calibri" w:hAnsi="Calibri"/>
                <w:color w:val="565656"/>
                <w:sz w:val="18"/>
              </w:rPr>
              <w:t>11 months</w:t>
            </w:r>
          </w:p>
        </w:tc>
        <w:tc>
          <w:tcPr>
            <w:tcW w:type="dxa" w:w="2016"/>
          </w:tcPr>
          <w:p>
            <w:pPr>
              <w:spacing w:after="40"/>
            </w:pPr>
            <w:r/>
            <w:r>
              <w:rPr>
                <w:rFonts w:ascii="Calibri" w:hAnsi="Calibri"/>
                <w:color w:val="565656"/>
                <w:sz w:val="18"/>
              </w:rPr>
              <w:t>None</w:t>
            </w:r>
          </w:p>
        </w:tc>
        <w:tc>
          <w:tcPr>
            <w:tcW w:type="dxa" w:w="4176"/>
          </w:tcPr>
          <w:p>
            <w:pPr>
              <w:spacing w:after="40"/>
            </w:pPr>
            <w:r/>
            <w:r>
              <w:rPr>
                <w:rFonts w:ascii="Calibri" w:hAnsi="Calibri"/>
                <w:color w:val="565656"/>
                <w:sz w:val="18"/>
              </w:rPr>
              <w:t>Under one year</w:t>
            </w:r>
          </w:p>
        </w:tc>
      </w:tr>
      <w:tr>
        <w:tc>
          <w:tcPr>
            <w:tcW w:type="dxa" w:w="3456"/>
          </w:tcPr>
          <w:p>
            <w:pPr>
              <w:spacing w:after="40"/>
            </w:pPr>
            <w:r/>
            <w:r>
              <w:rPr>
                <w:rFonts w:ascii="Calibri" w:hAnsi="Calibri"/>
                <w:color w:val="565656"/>
                <w:sz w:val="18"/>
              </w:rPr>
              <w:t>1 year 4 months</w:t>
            </w:r>
          </w:p>
        </w:tc>
        <w:tc>
          <w:tcPr>
            <w:tcW w:type="dxa" w:w="2016"/>
          </w:tcPr>
          <w:p>
            <w:pPr>
              <w:spacing w:after="40"/>
            </w:pPr>
            <w:r/>
            <w:r>
              <w:rPr>
                <w:rFonts w:ascii="Calibri" w:hAnsi="Calibri"/>
                <w:color w:val="565656"/>
                <w:sz w:val="18"/>
              </w:rPr>
              <w:t>1</w:t>
            </w:r>
          </w:p>
        </w:tc>
        <w:tc>
          <w:tcPr>
            <w:tcW w:type="dxa" w:w="4176"/>
          </w:tcPr>
          <w:p>
            <w:pPr>
              <w:spacing w:after="40"/>
            </w:pPr>
            <w:r/>
            <w:r>
              <w:rPr>
                <w:rFonts w:ascii="Calibri" w:hAnsi="Calibri"/>
                <w:color w:val="565656"/>
                <w:sz w:val="18"/>
              </w:rPr>
              <w:t>Four months is not over six</w:t>
            </w:r>
          </w:p>
        </w:tc>
      </w:tr>
      <w:tr>
        <w:tc>
          <w:tcPr>
            <w:tcW w:type="dxa" w:w="3456"/>
          </w:tcPr>
          <w:p>
            <w:pPr>
              <w:spacing w:after="40"/>
            </w:pPr>
            <w:r/>
            <w:r>
              <w:rPr>
                <w:rFonts w:ascii="Calibri" w:hAnsi="Calibri"/>
                <w:color w:val="565656"/>
                <w:sz w:val="18"/>
              </w:rPr>
              <w:t>1 year 9 months</w:t>
            </w:r>
          </w:p>
        </w:tc>
        <w:tc>
          <w:tcPr>
            <w:tcW w:type="dxa" w:w="2016"/>
          </w:tcPr>
          <w:p>
            <w:pPr>
              <w:spacing w:after="40"/>
            </w:pPr>
            <w:r/>
            <w:r>
              <w:rPr>
                <w:rFonts w:ascii="Calibri" w:hAnsi="Calibri"/>
                <w:color w:val="565656"/>
                <w:sz w:val="18"/>
              </w:rPr>
              <w:t>2</w:t>
            </w:r>
          </w:p>
        </w:tc>
        <w:tc>
          <w:tcPr>
            <w:tcW w:type="dxa" w:w="4176"/>
          </w:tcPr>
          <w:p>
            <w:pPr>
              <w:spacing w:after="40"/>
            </w:pPr>
            <w:r/>
            <w:r>
              <w:rPr>
                <w:rFonts w:ascii="Calibri" w:hAnsi="Calibri"/>
                <w:color w:val="565656"/>
                <w:sz w:val="18"/>
              </w:rPr>
              <w:t>Nine months rounds up</w:t>
            </w:r>
          </w:p>
        </w:tc>
      </w:tr>
      <w:tr>
        <w:tc>
          <w:tcPr>
            <w:tcW w:type="dxa" w:w="3456"/>
          </w:tcPr>
          <w:p>
            <w:pPr>
              <w:spacing w:after="40"/>
            </w:pPr>
            <w:r/>
            <w:r>
              <w:rPr>
                <w:rFonts w:ascii="Calibri" w:hAnsi="Calibri"/>
                <w:color w:val="565656"/>
                <w:sz w:val="18"/>
              </w:rPr>
              <w:t>2 years 5 months</w:t>
            </w:r>
          </w:p>
        </w:tc>
        <w:tc>
          <w:tcPr>
            <w:tcW w:type="dxa" w:w="2016"/>
          </w:tcPr>
          <w:p>
            <w:pPr>
              <w:spacing w:after="40"/>
            </w:pPr>
            <w:r/>
            <w:r>
              <w:rPr>
                <w:rFonts w:ascii="Calibri" w:hAnsi="Calibri"/>
                <w:color w:val="565656"/>
                <w:sz w:val="18"/>
              </w:rPr>
              <w:t>2</w:t>
            </w:r>
          </w:p>
        </w:tc>
        <w:tc>
          <w:tcPr>
            <w:tcW w:type="dxa" w:w="4176"/>
          </w:tcPr>
          <w:p>
            <w:pPr>
              <w:spacing w:after="40"/>
            </w:pPr>
            <w:r/>
            <w:r>
              <w:rPr>
                <w:rFonts w:ascii="Calibri" w:hAnsi="Calibri"/>
                <w:color w:val="565656"/>
                <w:sz w:val="18"/>
              </w:rPr>
              <w:t>Five months is not over six</w:t>
            </w:r>
          </w:p>
        </w:tc>
      </w:tr>
      <w:tr>
        <w:tc>
          <w:tcPr>
            <w:tcW w:type="dxa" w:w="3456"/>
          </w:tcPr>
          <w:p>
            <w:pPr>
              <w:spacing w:after="40"/>
            </w:pPr>
            <w:r/>
            <w:r>
              <w:rPr>
                <w:rFonts w:ascii="Calibri" w:hAnsi="Calibri"/>
                <w:color w:val="565656"/>
                <w:sz w:val="18"/>
              </w:rPr>
              <w:t>2 years 7 months</w:t>
            </w:r>
          </w:p>
        </w:tc>
        <w:tc>
          <w:tcPr>
            <w:tcW w:type="dxa" w:w="2016"/>
          </w:tcPr>
          <w:p>
            <w:pPr>
              <w:spacing w:after="40"/>
            </w:pPr>
            <w:r/>
            <w:r>
              <w:rPr>
                <w:rFonts w:ascii="Calibri" w:hAnsi="Calibri"/>
                <w:color w:val="565656"/>
                <w:sz w:val="18"/>
              </w:rPr>
              <w:t>3</w:t>
            </w:r>
          </w:p>
        </w:tc>
        <w:tc>
          <w:tcPr>
            <w:tcW w:type="dxa" w:w="4176"/>
          </w:tcPr>
          <w:p>
            <w:pPr>
              <w:spacing w:after="40"/>
            </w:pPr>
            <w:r/>
            <w:r>
              <w:rPr>
                <w:rFonts w:ascii="Calibri" w:hAnsi="Calibri"/>
                <w:color w:val="565656"/>
                <w:sz w:val="18"/>
              </w:rPr>
              <w:t>Seven months rounds up</w:t>
            </w:r>
          </w:p>
        </w:tc>
      </w:tr>
    </w:tbl>
    <w:p>
      <w:pPr>
        <w:keepNext w:val="0"/>
        <w:spacing w:after="120" w:before="0"/>
      </w:pPr>
      <w:r>
        <w:rPr>
          <w:rFonts w:ascii="Calibri" w:hAnsi="Calibri"/>
          <w:b w:val="0"/>
          <w:i w:val="0"/>
          <w:color w:val="1D1D1D"/>
          <w:sz w:val="21"/>
        </w:rPr>
      </w:r>
    </w:p>
    <w:p>
      <w:pPr>
        <w:keepNext w:val="0"/>
        <w:spacing w:after="160" w:before="0"/>
        <w:ind w:left="216"/>
        <w:shd w:val="clear" w:fill="FFF8E8"/>
      </w:pPr>
      <w:r>
        <w:rPr>
          <w:rFonts w:ascii="Calibri" w:hAnsi="Calibri"/>
          <w:b w:val="0"/>
          <w:i w:val="0"/>
          <w:color w:val="1D1D1D"/>
          <w:sz w:val="20"/>
        </w:rPr>
        <w:t>Pro rata here is not per day. A fixed term of 2 years 7 months earns three years of gratuity, and one of 2 years 5 months earns two. Paying by the day overpays the second and underpays the first.</w:t>
      </w:r>
    </w:p>
    <w:p>
      <w:pPr>
        <w:spacing w:after="120"/>
        <w:ind w:left="288"/>
      </w:pPr>
      <w:r>
        <w:rPr>
          <w:rFonts w:ascii="Calibri" w:hAnsi="Calibri"/>
          <w:b/>
          <w:color w:val="0069A4"/>
          <w:sz w:val="17"/>
        </w:rPr>
        <w:t xml:space="preserve">Rests on  </w:t>
      </w:r>
      <w:r>
        <w:rPr>
          <w:rFonts w:ascii="Calibri" w:hAnsi="Calibri"/>
          <w:i/>
          <w:color w:val="565656"/>
          <w:sz w:val="17"/>
        </w:rPr>
        <w:t>Code on Social Security, 2020, s.53(1)(d) and its second proviso, s.53(2) and its third proviso; Social Security (Central) Rules, 2026, rule 33(1)(a), second proviso</w:t>
      </w:r>
    </w:p>
    <w:p>
      <w:r>
        <w:br w:type="page"/>
      </w:r>
    </w:p>
    <w:p>
      <w:pPr>
        <w:pStyle w:val="Heading1"/>
        <w:keepNext/>
        <w:spacing w:after="200" w:before="80"/>
        <w:ind w:left="115"/>
        <w:shd w:val="clear" w:fill="008CDB"/>
      </w:pPr>
      <w:r>
        <w:rPr>
          <w:rFonts w:ascii="Calibri" w:hAnsi="Calibri"/>
          <w:b/>
          <w:color w:val="FFFFFF"/>
          <w:sz w:val="22"/>
        </w:rPr>
        <w:t>3.  THE WAGE THE GRATUITY RUNS ON</w:t>
      </w:r>
    </w:p>
    <w:p>
      <w:pPr>
        <w:keepNext w:val="0"/>
        <w:spacing w:after="160" w:before="0"/>
      </w:pPr>
      <w:r>
        <w:rPr>
          <w:rFonts w:ascii="Calibri" w:hAnsi="Calibri"/>
          <w:b w:val="0"/>
          <w:i w:val="0"/>
          <w:color w:val="1D1D1D"/>
          <w:sz w:val="20"/>
        </w:rPr>
        <w:t>Section 53(2) pays on "the rate of wages last drawn", and Explanation 3 to section 53 says that for a monthly-rated employee the fifteen days' wages are the monthly rate of wages last drawn divided by twenty-six and multiplied by fifteen. The wages are the Code's wages, under section 2(88).</w:t>
      </w:r>
    </w:p>
    <w:p>
      <w:pPr>
        <w:pStyle w:val="Heading2"/>
        <w:keepNext/>
        <w:spacing w:after="60" w:before="160"/>
      </w:pPr>
      <w:r>
        <w:rPr>
          <w:rFonts w:ascii="Calibri" w:hAnsi="Calibri"/>
          <w:b/>
          <w:color w:val="1D1D1D"/>
          <w:sz w:val="21"/>
        </w:rPr>
        <w:t>The one-half proviso</w:t>
      </w:r>
    </w:p>
    <w:p>
      <w:pPr>
        <w:keepNext w:val="0"/>
        <w:spacing w:after="160" w:before="0"/>
      </w:pPr>
      <w:r>
        <w:rPr>
          <w:rFonts w:ascii="Calibri" w:hAnsi="Calibri"/>
          <w:b w:val="0"/>
          <w:i w:val="0"/>
          <w:color w:val="1D1D1D"/>
          <w:sz w:val="20"/>
        </w:rPr>
        <w:t>Section 2(88) includes basic pay, dearness allowance and retaining allowance, and leaves out a list that runs from house rent allowance and conveyance to commission and overtime. Its first proviso then says that where the payments left out exceed one-half of all remuneration, or another per cent the Centre notifies, the amount that exceeds it is deemed remuneration and added to wages.</w:t>
      </w:r>
    </w:p>
    <w:p>
      <w:pPr>
        <w:keepNext w:val="0"/>
        <w:spacing w:after="160" w:before="0"/>
        <w:ind w:left="216"/>
        <w:shd w:val="clear" w:fill="FFF8E8"/>
      </w:pPr>
      <w:r>
        <w:rPr>
          <w:rFonts w:ascii="Calibri" w:hAnsi="Calibri"/>
          <w:b w:val="0"/>
          <w:i w:val="0"/>
          <w:color w:val="1D1D1D"/>
          <w:sz w:val="20"/>
        </w:rPr>
        <w:t>It does not make anyone restructure a salary. It changes the arithmetic: on a ₹40,000 package with ₹16,000 of basic, ₹4,000 of the allowances is added back, and gratuity runs on ₹20,000, not ₹16,000. Format 04 does that line by line.</w:t>
      </w:r>
    </w:p>
    <w:p>
      <w:pPr>
        <w:spacing w:after="120"/>
        <w:ind w:left="288"/>
      </w:pPr>
      <w:r>
        <w:rPr>
          <w:rFonts w:ascii="Calibri" w:hAnsi="Calibri"/>
          <w:b/>
          <w:color w:val="0069A4"/>
          <w:sz w:val="17"/>
        </w:rPr>
        <w:t xml:space="preserve">Rests on  </w:t>
      </w:r>
      <w:r>
        <w:rPr>
          <w:rFonts w:ascii="Calibri" w:hAnsi="Calibri"/>
          <w:i/>
          <w:color w:val="565656"/>
          <w:sz w:val="17"/>
        </w:rPr>
        <w:t>Code on Social Security, 2020, s.2(88) with its first proviso, s.53(2), s.53 Explanation 3</w:t>
      </w:r>
    </w:p>
    <w:p>
      <w:pPr>
        <w:keepNext w:val="0"/>
        <w:spacing w:after="200" w:before="0"/>
      </w:pPr>
      <w:r>
        <w:rPr>
          <w:rFonts w:ascii="Calibri" w:hAnsi="Calibri"/>
          <w:b w:val="0"/>
          <w:i w:val="0"/>
          <w:color w:val="1D1D1D"/>
          <w:sz w:val="21"/>
        </w:rPr>
      </w:r>
    </w:p>
    <w:p>
      <w:pPr>
        <w:pStyle w:val="Heading1"/>
        <w:keepNext/>
        <w:spacing w:after="200" w:before="80"/>
        <w:ind w:left="115"/>
        <w:shd w:val="clear" w:fill="008CDB"/>
      </w:pPr>
      <w:r>
        <w:rPr>
          <w:rFonts w:ascii="Calibri" w:hAnsi="Calibri"/>
          <w:b/>
          <w:color w:val="FFFFFF"/>
          <w:sz w:val="22"/>
        </w:rPr>
        <w:t>4.  PAYING IT, AND WHAT NOT PAYING COSTS</w:t>
      </w:r>
    </w:p>
    <w:p>
      <w:pPr>
        <w:keepNext w:val="0"/>
        <w:spacing w:after="60" w:before="0"/>
        <w:ind w:left="360"/>
      </w:pPr>
      <w:r>
        <w:rPr>
          <w:rFonts w:ascii="Calibri" w:hAnsi="Calibri"/>
          <w:b w:val="0"/>
          <w:i w:val="0"/>
          <w:color w:val="1D1D1D"/>
          <w:sz w:val="20"/>
        </w:rPr>
        <w:t>•  As soon as gratuity becomes payable, the employer determines the amount and gives written notice to the person entitled and to the competent authority, whether or not they have applied. Section 56(2).</w:t>
      </w:r>
    </w:p>
    <w:p>
      <w:pPr>
        <w:keepNext w:val="0"/>
        <w:spacing w:after="60" w:before="0"/>
        <w:ind w:left="360"/>
      </w:pPr>
      <w:r>
        <w:rPr>
          <w:rFonts w:ascii="Calibri" w:hAnsi="Calibri"/>
          <w:b w:val="0"/>
          <w:i w:val="0"/>
          <w:color w:val="1D1D1D"/>
          <w:sz w:val="20"/>
        </w:rPr>
        <w:t>•  Where they do apply, rule 33(2)(a) requires a notice in Form-V within fifteen days, fixing a payment date not later than the thirtieth day after the application. Format 05.</w:t>
      </w:r>
    </w:p>
    <w:p>
      <w:pPr>
        <w:keepNext w:val="0"/>
        <w:spacing w:after="60" w:before="0"/>
        <w:ind w:left="360"/>
      </w:pPr>
      <w:r>
        <w:rPr>
          <w:rFonts w:ascii="Calibri" w:hAnsi="Calibri"/>
          <w:b w:val="0"/>
          <w:i w:val="0"/>
          <w:color w:val="1D1D1D"/>
          <w:sz w:val="20"/>
        </w:rPr>
        <w:t>•  Payment within thirty days of it becoming payable, under section 56(3). After that, simple interest from the date it became payable, at a rate not exceeding the one the Centre notifies for long term deposits, under section 56(4).</w:t>
      </w:r>
    </w:p>
    <w:p>
      <w:pPr>
        <w:keepNext w:val="0"/>
        <w:spacing w:after="60" w:before="0"/>
        <w:ind w:left="360"/>
      </w:pPr>
      <w:r>
        <w:rPr>
          <w:rFonts w:ascii="Calibri" w:hAnsi="Calibri"/>
          <w:b w:val="0"/>
          <w:i w:val="0"/>
          <w:color w:val="1D1D1D"/>
          <w:sz w:val="20"/>
        </w:rPr>
        <w:t>•  Failing to pay gratuity an employee is entitled to is an offence under section 133(g): imprisonment up to one year, a fine up to ₹50,000, or both. A repeat carries two to three years and a fine of three lakh rupees under the proviso to section 134.</w:t>
      </w:r>
    </w:p>
    <w:p>
      <w:pPr>
        <w:keepNext w:val="0"/>
        <w:spacing w:after="60" w:before="0"/>
        <w:ind w:left="360"/>
      </w:pPr>
      <w:r>
        <w:rPr>
          <w:rFonts w:ascii="Calibri" w:hAnsi="Calibri"/>
          <w:b w:val="0"/>
          <w:i w:val="0"/>
          <w:color w:val="1D1D1D"/>
          <w:sz w:val="20"/>
        </w:rPr>
        <w:t>•  Gratuity is capped at the amount the Centre notifies, under section 53(3). The figure in force is ₹20,00,000, fixed by S.O. 1420(E) of 29-Mar-2018 under the repealed Payment of Gratuity Act and carried over by section 164(2)(a) until the Centre notifies another. A fixed term of a few years does not come near it.</w:t>
      </w:r>
    </w:p>
    <w:p>
      <w:pPr>
        <w:spacing w:after="120"/>
        <w:ind w:left="288"/>
      </w:pPr>
      <w:r>
        <w:rPr>
          <w:rFonts w:ascii="Calibri" w:hAnsi="Calibri"/>
          <w:b/>
          <w:color w:val="0069A4"/>
          <w:sz w:val="17"/>
        </w:rPr>
        <w:t xml:space="preserve">Rests on  </w:t>
      </w:r>
      <w:r>
        <w:rPr>
          <w:rFonts w:ascii="Calibri" w:hAnsi="Calibri"/>
          <w:i/>
          <w:color w:val="565656"/>
          <w:sz w:val="17"/>
        </w:rPr>
        <w:t>Code on Social Security, 2020, s.53(3), s.56(2) to (4), s.133(g) with (ii), s.134; Social Security (Central) Rules, 2026, rule 33(2) and Form-V</w:t>
      </w:r>
    </w:p>
    <w:p>
      <w:r>
        <w:br w:type="page"/>
      </w:r>
    </w:p>
    <w:p>
      <w:pPr>
        <w:pStyle w:val="Heading1"/>
        <w:keepNext/>
        <w:spacing w:after="200" w:before="80"/>
        <w:ind w:left="115"/>
        <w:shd w:val="clear" w:fill="008CDB"/>
      </w:pPr>
      <w:r>
        <w:rPr>
          <w:rFonts w:ascii="Calibri" w:hAnsi="Calibri"/>
          <w:b/>
          <w:color w:val="FFFFFF"/>
          <w:sz w:val="22"/>
        </w:rPr>
        <w:t>5.  TWO QUESTIONS THIS PACK LEAVES OPEN</w:t>
      </w:r>
    </w:p>
    <w:p>
      <w:pPr>
        <w:pStyle w:val="Heading2"/>
        <w:keepNext/>
        <w:spacing w:after="60" w:before="160"/>
      </w:pPr>
      <w:r>
        <w:rPr>
          <w:rFonts w:ascii="Calibri" w:hAnsi="Calibri"/>
          <w:b/>
          <w:color w:val="1D1D1D"/>
          <w:sz w:val="21"/>
        </w:rPr>
        <w:t>1.  Leaving early, after a year</w:t>
      </w:r>
    </w:p>
    <w:p>
      <w:pPr>
        <w:keepNext w:val="0"/>
        <w:spacing w:after="160" w:before="0"/>
      </w:pPr>
      <w:r>
        <w:rPr>
          <w:rFonts w:ascii="Calibri" w:hAnsi="Calibri"/>
          <w:b w:val="0"/>
          <w:i w:val="0"/>
          <w:color w:val="1D1D1D"/>
          <w:sz w:val="20"/>
        </w:rPr>
        <w:t>The Code waives five years where employment ends on the EXPIRATION of fixed term employment. Rule 33 and the IR Code's definition speak of service under the contract for a year, with no mention of how it ends. Whether a fixed term employee who resigns after eighteen months of a three-year contract is owed gratuity is not answered by the words, and no court reading was opened for this pack.</w:t>
      </w:r>
    </w:p>
    <w:p>
      <w:pPr>
        <w:pStyle w:val="Heading2"/>
        <w:keepNext/>
        <w:spacing w:after="60" w:before="160"/>
      </w:pPr>
      <w:r>
        <w:rPr>
          <w:rFonts w:ascii="Calibri" w:hAnsi="Calibri"/>
          <w:b/>
          <w:color w:val="1D1D1D"/>
          <w:sz w:val="21"/>
        </w:rPr>
        <w:t>2.  A chain of short renewals</w:t>
      </w:r>
    </w:p>
    <w:p>
      <w:pPr>
        <w:keepNext w:val="0"/>
        <w:spacing w:after="160" w:before="0"/>
      </w:pPr>
      <w:r>
        <w:rPr>
          <w:rFonts w:ascii="Calibri" w:hAnsi="Calibri"/>
          <w:b w:val="0"/>
          <w:i w:val="0"/>
          <w:color w:val="1D1D1D"/>
          <w:sz w:val="20"/>
        </w:rPr>
        <w:t>Rule 33 counts service "under the contract". Section 54(A) counts continuous service as uninterrupted service, and back-to-back contracts with the same employer leave no interruption. This pack builds on continuous service, because section 2(34)(b) gives a fixed term employee every benefit proportionately and Format 02 records the original start date. If you rely on the other reading, you are relying on something the words do not say.</w:t>
      </w:r>
    </w:p>
    <w:p>
      <w:pPr>
        <w:keepNext w:val="0"/>
        <w:spacing w:after="160" w:before="0"/>
        <w:ind w:left="216"/>
        <w:shd w:val="clear" w:fill="FFF6E5"/>
      </w:pPr>
      <w:r>
        <w:rPr>
          <w:rFonts w:ascii="Calibri" w:hAnsi="Calibri"/>
          <w:b w:val="0"/>
          <w:i w:val="0"/>
          <w:color w:val="1D1D1D"/>
          <w:sz w:val="20"/>
        </w:rPr>
        <w:t>One thing that looks open and is not: the gratuity ceiling. Section 53(3) leaves it to notification, no figure has been notified under the Code, and section 164(2)(a) carries the 2018 notification under the repealed Act over until one is. So ₹20,00,000 still applies, from S.O. 1420(E) of 29-Mar-2018.</w:t>
      </w:r>
    </w:p>
    <w:p>
      <w:pPr>
        <w:spacing w:after="120"/>
        <w:ind w:left="288"/>
      </w:pPr>
      <w:r>
        <w:rPr>
          <w:rFonts w:ascii="Calibri" w:hAnsi="Calibri"/>
          <w:b/>
          <w:color w:val="0069A4"/>
          <w:sz w:val="17"/>
        </w:rPr>
        <w:t xml:space="preserve">Rests on  </w:t>
      </w:r>
      <w:r>
        <w:rPr>
          <w:rFonts w:ascii="Calibri" w:hAnsi="Calibri"/>
          <w:i/>
          <w:color w:val="565656"/>
          <w:sz w:val="17"/>
        </w:rPr>
        <w:t>Code on Social Security, 2020, s.53(1), s.53(3), s.54(A), s.164(2)(a); Social Security (Central) Rules, 2026, rule 33(1)(a)</w:t>
      </w:r>
    </w:p>
    <w:p>
      <w:r>
        <w:br w:type="page"/>
      </w:r>
    </w:p>
    <w:p>
      <w:pPr>
        <w:pStyle w:val="Heading1"/>
        <w:keepNext/>
        <w:spacing w:after="200" w:before="80"/>
        <w:ind w:left="115"/>
        <w:shd w:val="clear" w:fill="008CDB"/>
      </w:pPr>
      <w:r>
        <w:rPr>
          <w:rFonts w:ascii="Calibri" w:hAnsi="Calibri"/>
          <w:b/>
          <w:color w:val="FFFFFF"/>
          <w:sz w:val="22"/>
        </w:rPr>
        <w:t>6.  SIX FORMATS, AND WHEN TO USE EACH</w:t>
      </w:r>
    </w:p>
    <w:tbl>
      <w:tblPr>
        <w:tblStyle w:val="TableGrid"/>
        <w:tblW w:type="auto" w:w="0"/>
        <w:tblLook w:firstColumn="1" w:firstRow="1" w:lastColumn="0" w:lastRow="0" w:noHBand="0" w:noVBand="1" w:val="04A0"/>
      </w:tblPr>
      <w:tblGrid>
        <w:gridCol w:w="3216"/>
        <w:gridCol w:w="3216"/>
        <w:gridCol w:w="3216"/>
      </w:tblGrid>
      <w:tr>
        <w:tc>
          <w:tcPr>
            <w:tcW w:type="dxa" w:w="3024"/>
          </w:tcPr>
          <w:p>
            <w:pPr>
              <w:spacing w:after="40"/>
              <w:shd w:val="clear" w:fill="E8F4FC"/>
            </w:pPr>
            <w:r/>
            <w:r>
              <w:rPr>
                <w:rFonts w:ascii="Calibri" w:hAnsi="Calibri"/>
                <w:b/>
                <w:color w:val="0069A4"/>
                <w:sz w:val="18"/>
              </w:rPr>
              <w:t>Format</w:t>
            </w:r>
          </w:p>
        </w:tc>
        <w:tc>
          <w:tcPr>
            <w:tcW w:type="dxa" w:w="2880"/>
          </w:tcPr>
          <w:p>
            <w:pPr>
              <w:spacing w:after="40"/>
              <w:shd w:val="clear" w:fill="E8F4FC"/>
            </w:pPr>
            <w:r/>
            <w:r>
              <w:rPr>
                <w:rFonts w:ascii="Calibri" w:hAnsi="Calibri"/>
                <w:b/>
                <w:color w:val="0069A4"/>
                <w:sz w:val="18"/>
              </w:rPr>
              <w:t>Use it when</w:t>
            </w:r>
          </w:p>
        </w:tc>
        <w:tc>
          <w:tcPr>
            <w:tcW w:type="dxa" w:w="3888"/>
          </w:tcPr>
          <w:p>
            <w:pPr>
              <w:spacing w:after="40"/>
              <w:shd w:val="clear" w:fill="E8F4FC"/>
            </w:pPr>
            <w:r/>
            <w:r>
              <w:rPr>
                <w:rFonts w:ascii="Calibri" w:hAnsi="Calibri"/>
                <w:b/>
                <w:color w:val="0069A4"/>
                <w:sz w:val="18"/>
              </w:rPr>
              <w:t>The thing to get right</w:t>
            </w:r>
          </w:p>
        </w:tc>
      </w:tr>
      <w:tr>
        <w:tc>
          <w:tcPr>
            <w:tcW w:type="dxa" w:w="3024"/>
          </w:tcPr>
          <w:p>
            <w:pPr>
              <w:spacing w:after="40"/>
            </w:pPr>
            <w:r/>
            <w:r>
              <w:rPr>
                <w:rFonts w:ascii="Calibri" w:hAnsi="Calibri"/>
                <w:color w:val="565656"/>
                <w:sz w:val="18"/>
              </w:rPr>
              <w:t>01  Fixed term employment contract</w:t>
            </w:r>
          </w:p>
        </w:tc>
        <w:tc>
          <w:tcPr>
            <w:tcW w:type="dxa" w:w="2880"/>
          </w:tcPr>
          <w:p>
            <w:pPr>
              <w:spacing w:after="40"/>
            </w:pPr>
            <w:r/>
            <w:r>
              <w:rPr>
                <w:rFonts w:ascii="Calibri" w:hAnsi="Calibri"/>
                <w:color w:val="565656"/>
                <w:sz w:val="18"/>
              </w:rPr>
              <w:t>Before the first day</w:t>
            </w:r>
          </w:p>
        </w:tc>
        <w:tc>
          <w:tcPr>
            <w:tcW w:type="dxa" w:w="3888"/>
          </w:tcPr>
          <w:p>
            <w:pPr>
              <w:spacing w:after="40"/>
            </w:pPr>
            <w:r/>
            <w:r>
              <w:rPr>
                <w:rFonts w:ascii="Calibri" w:hAnsi="Calibri"/>
                <w:color w:val="565656"/>
                <w:sz w:val="18"/>
              </w:rPr>
              <w:t>Put the parity clause and the gratuity clause in writing.</w:t>
            </w:r>
          </w:p>
        </w:tc>
      </w:tr>
      <w:tr>
        <w:tc>
          <w:tcPr>
            <w:tcW w:type="dxa" w:w="3024"/>
          </w:tcPr>
          <w:p>
            <w:pPr>
              <w:spacing w:after="40"/>
            </w:pPr>
            <w:r/>
            <w:r>
              <w:rPr>
                <w:rFonts w:ascii="Calibri" w:hAnsi="Calibri"/>
                <w:color w:val="565656"/>
                <w:sz w:val="18"/>
              </w:rPr>
              <w:t>02  Renewal or extension letter</w:t>
            </w:r>
          </w:p>
        </w:tc>
        <w:tc>
          <w:tcPr>
            <w:tcW w:type="dxa" w:w="2880"/>
          </w:tcPr>
          <w:p>
            <w:pPr>
              <w:spacing w:after="40"/>
            </w:pPr>
            <w:r/>
            <w:r>
              <w:rPr>
                <w:rFonts w:ascii="Calibri" w:hAnsi="Calibri"/>
                <w:color w:val="565656"/>
                <w:sz w:val="18"/>
              </w:rPr>
              <w:t>Before the term lapses</w:t>
            </w:r>
          </w:p>
        </w:tc>
        <w:tc>
          <w:tcPr>
            <w:tcW w:type="dxa" w:w="3888"/>
          </w:tcPr>
          <w:p>
            <w:pPr>
              <w:spacing w:after="40"/>
            </w:pPr>
            <w:r/>
            <w:r>
              <w:rPr>
                <w:rFonts w:ascii="Calibri" w:hAnsi="Calibri"/>
                <w:color w:val="565656"/>
                <w:sz w:val="18"/>
              </w:rPr>
              <w:t>Renew in writing before the end date and record the ORIGINAL start date.</w:t>
            </w:r>
          </w:p>
        </w:tc>
      </w:tr>
      <w:tr>
        <w:tc>
          <w:tcPr>
            <w:tcW w:type="dxa" w:w="3024"/>
          </w:tcPr>
          <w:p>
            <w:pPr>
              <w:spacing w:after="40"/>
            </w:pPr>
            <w:r/>
            <w:r>
              <w:rPr>
                <w:rFonts w:ascii="Calibri" w:hAnsi="Calibri"/>
                <w:color w:val="565656"/>
                <w:sz w:val="18"/>
              </w:rPr>
              <w:t>03  Completion of tenure letter</w:t>
            </w:r>
          </w:p>
        </w:tc>
        <w:tc>
          <w:tcPr>
            <w:tcW w:type="dxa" w:w="2880"/>
          </w:tcPr>
          <w:p>
            <w:pPr>
              <w:spacing w:after="40"/>
            </w:pPr>
            <w:r/>
            <w:r>
              <w:rPr>
                <w:rFonts w:ascii="Calibri" w:hAnsi="Calibri"/>
                <w:color w:val="565656"/>
                <w:sz w:val="18"/>
              </w:rPr>
              <w:t>When the contract runs to its end</w:t>
            </w:r>
          </w:p>
        </w:tc>
        <w:tc>
          <w:tcPr>
            <w:tcW w:type="dxa" w:w="3888"/>
          </w:tcPr>
          <w:p>
            <w:pPr>
              <w:spacing w:after="40"/>
            </w:pPr>
            <w:r/>
            <w:r>
              <w:rPr>
                <w:rFonts w:ascii="Calibri" w:hAnsi="Calibri"/>
                <w:color w:val="565656"/>
                <w:sz w:val="18"/>
              </w:rPr>
              <w:t>State the end date, the gratuity amount and when it will be paid.</w:t>
            </w:r>
          </w:p>
        </w:tc>
      </w:tr>
      <w:tr>
        <w:tc>
          <w:tcPr>
            <w:tcW w:type="dxa" w:w="3024"/>
          </w:tcPr>
          <w:p>
            <w:pPr>
              <w:spacing w:after="40"/>
            </w:pPr>
            <w:r/>
            <w:r>
              <w:rPr>
                <w:rFonts w:ascii="Calibri" w:hAnsi="Calibri"/>
                <w:color w:val="565656"/>
                <w:sz w:val="18"/>
              </w:rPr>
              <w:t>04  Gratuity worksheet for fixed term service</w:t>
            </w:r>
          </w:p>
        </w:tc>
        <w:tc>
          <w:tcPr>
            <w:tcW w:type="dxa" w:w="2880"/>
          </w:tcPr>
          <w:p>
            <w:pPr>
              <w:spacing w:after="40"/>
            </w:pPr>
            <w:r/>
            <w:r>
              <w:rPr>
                <w:rFonts w:ascii="Calibri" w:hAnsi="Calibri"/>
                <w:color w:val="565656"/>
                <w:sz w:val="18"/>
              </w:rPr>
              <w:t>Before Format 03 and Format 05</w:t>
            </w:r>
          </w:p>
        </w:tc>
        <w:tc>
          <w:tcPr>
            <w:tcW w:type="dxa" w:w="3888"/>
          </w:tcPr>
          <w:p>
            <w:pPr>
              <w:spacing w:after="40"/>
            </w:pPr>
            <w:r/>
            <w:r>
              <w:rPr>
                <w:rFonts w:ascii="Calibri" w:hAnsi="Calibri"/>
                <w:color w:val="565656"/>
                <w:sz w:val="18"/>
              </w:rPr>
              <w:t>Two halves: the years, counted with the six-month rounding, and the wage, built the way section 2(88) defines it.</w:t>
            </w:r>
          </w:p>
        </w:tc>
      </w:tr>
      <w:tr>
        <w:tc>
          <w:tcPr>
            <w:tcW w:type="dxa" w:w="3024"/>
          </w:tcPr>
          <w:p>
            <w:pPr>
              <w:spacing w:after="40"/>
            </w:pPr>
            <w:r/>
            <w:r>
              <w:rPr>
                <w:rFonts w:ascii="Calibri" w:hAnsi="Calibri"/>
                <w:color w:val="565656"/>
                <w:sz w:val="18"/>
              </w:rPr>
              <w:t>05  Notice of gratuity payable, Form-V</w:t>
            </w:r>
          </w:p>
        </w:tc>
        <w:tc>
          <w:tcPr>
            <w:tcW w:type="dxa" w:w="2880"/>
          </w:tcPr>
          <w:p>
            <w:pPr>
              <w:spacing w:after="40"/>
            </w:pPr>
            <w:r/>
            <w:r>
              <w:rPr>
                <w:rFonts w:ascii="Calibri" w:hAnsi="Calibri"/>
                <w:color w:val="565656"/>
                <w:sz w:val="18"/>
              </w:rPr>
              <w:t>Within fifteen days of an application, or as soon as it is payable</w:t>
            </w:r>
          </w:p>
        </w:tc>
        <w:tc>
          <w:tcPr>
            <w:tcW w:type="dxa" w:w="3888"/>
          </w:tcPr>
          <w:p>
            <w:pPr>
              <w:spacing w:after="40"/>
            </w:pPr>
            <w:r/>
            <w:r>
              <w:rPr>
                <w:rFonts w:ascii="Calibri" w:hAnsi="Calibri"/>
                <w:color w:val="565656"/>
                <w:sz w:val="18"/>
              </w:rPr>
              <w:t>Send it whether or not the employee applies, with the brief statement of calculation the form asks for and a copy to the competent authority.</w:t>
            </w:r>
          </w:p>
        </w:tc>
      </w:tr>
      <w:tr>
        <w:tc>
          <w:tcPr>
            <w:tcW w:type="dxa" w:w="3024"/>
          </w:tcPr>
          <w:p>
            <w:pPr>
              <w:spacing w:after="40"/>
            </w:pPr>
            <w:r/>
            <w:r>
              <w:rPr>
                <w:rFonts w:ascii="Calibri" w:hAnsi="Calibri"/>
                <w:color w:val="565656"/>
                <w:sz w:val="18"/>
              </w:rPr>
              <w:t>06  Parity check against a permanent employee</w:t>
            </w:r>
          </w:p>
        </w:tc>
        <w:tc>
          <w:tcPr>
            <w:tcW w:type="dxa" w:w="2880"/>
          </w:tcPr>
          <w:p>
            <w:pPr>
              <w:spacing w:after="40"/>
            </w:pPr>
            <w:r/>
            <w:r>
              <w:rPr>
                <w:rFonts w:ascii="Calibri" w:hAnsi="Calibri"/>
                <w:color w:val="565656"/>
                <w:sz w:val="18"/>
              </w:rPr>
              <w:t>At hiring and at every revision</w:t>
            </w:r>
          </w:p>
        </w:tc>
        <w:tc>
          <w:tcPr>
            <w:tcW w:type="dxa" w:w="3888"/>
          </w:tcPr>
          <w:p>
            <w:pPr>
              <w:spacing w:after="40"/>
            </w:pPr>
            <w:r/>
            <w:r>
              <w:rPr>
                <w:rFonts w:ascii="Calibri" w:hAnsi="Calibri"/>
                <w:color w:val="565656"/>
                <w:sz w:val="18"/>
              </w:rPr>
              <w:t>Name the permanent role you compare against.</w:t>
            </w:r>
          </w:p>
        </w:tc>
      </w:tr>
    </w:tbl>
    <w:p>
      <w:r>
        <w:br w:type="page"/>
      </w:r>
    </w:p>
    <w:p>
      <w:pPr>
        <w:pStyle w:val="Heading1"/>
        <w:keepNext/>
        <w:spacing w:after="200" w:before="80"/>
        <w:ind w:left="115"/>
        <w:shd w:val="clear" w:fill="008CDB"/>
      </w:pPr>
      <w:r>
        <w:rPr>
          <w:rFonts w:ascii="Calibri" w:hAnsi="Calibri"/>
          <w:b/>
          <w:color w:val="FFFFFF"/>
          <w:sz w:val="22"/>
        </w:rPr>
        <w:t>7.  THE FORMATS</w:t>
      </w:r>
    </w:p>
    <w:p>
      <w:pPr>
        <w:keepNext w:val="0"/>
        <w:spacing w:after="200" w:before="0"/>
      </w:pPr>
      <w:r>
        <w:rPr>
          <w:rFonts w:ascii="Calibri" w:hAnsi="Calibri"/>
          <w:b w:val="0"/>
          <w:i w:val="0"/>
          <w:color w:val="565656"/>
          <w:sz w:val="20"/>
        </w:rPr>
        <w:t>Each on its own page. Square brackets are yours to fill.</w:t>
      </w:r>
    </w:p>
    <w:p>
      <w:pPr>
        <w:pStyle w:val="Heading1"/>
        <w:keepNext/>
        <w:spacing w:after="200" w:before="80"/>
        <w:ind w:left="115"/>
        <w:shd w:val="clear" w:fill="0069A4"/>
      </w:pPr>
      <w:r>
        <w:rPr>
          <w:rFonts w:ascii="Calibri" w:hAnsi="Calibri"/>
          <w:b/>
          <w:color w:val="FFFFFF"/>
          <w:sz w:val="20"/>
        </w:rPr>
        <w:t>FORMAT 01  ·  FIXED TERM EMPLOYMENT CONTRACT</w:t>
      </w:r>
    </w:p>
    <w:p>
      <w:pPr>
        <w:keepNext w:val="0"/>
        <w:spacing w:after="160" w:before="0"/>
        <w:ind w:left="144"/>
        <w:shd w:val="clear" w:fill="F4FAFE"/>
      </w:pPr>
      <w:r>
        <w:rPr>
          <w:rFonts w:ascii="Calibri" w:hAnsi="Calibri"/>
          <w:b w:val="0"/>
          <w:i/>
          <w:color w:val="565656"/>
          <w:sz w:val="18"/>
        </w:rPr>
        <w:t>Put the parity clause and the gratuity clause in writing. A contract silent on gratuity does not remove it; it only means the employee learns the rule from someone else.</w:t>
      </w:r>
    </w:p>
    <w:p>
      <w:pPr>
        <w:keepNext w:val="0"/>
        <w:spacing w:after="160" w:before="0"/>
      </w:pPr>
      <w:r>
        <w:rPr>
          <w:rFonts w:ascii="Calibri" w:hAnsi="Calibri"/>
          <w:b w:val="0"/>
          <w:i w:val="0"/>
          <w:color w:val="1D1D1D"/>
          <w:sz w:val="20"/>
        </w:rPr>
        <w:t>This contract is made on [DD-MMM-YYYY] between [COMPANY NAME], [ADDRESS] (the Company) and [EMPLOYEE NAME], [ADDRESS] (the Employee).</w:t>
      </w:r>
    </w:p>
    <w:p>
      <w:pPr>
        <w:keepNext w:val="0"/>
        <w:spacing w:after="40" w:before="0"/>
      </w:pPr>
      <w:r>
        <w:rPr>
          <w:rFonts w:ascii="Calibri" w:hAnsi="Calibri"/>
          <w:b/>
          <w:i w:val="0"/>
          <w:color w:val="1D1D1D"/>
          <w:sz w:val="20"/>
        </w:rPr>
        <w:t>1.  Engagement and term</w:t>
      </w:r>
    </w:p>
    <w:p>
      <w:pPr>
        <w:keepNext w:val="0"/>
        <w:spacing w:after="160" w:before="0"/>
        <w:ind w:left="288"/>
      </w:pPr>
      <w:r>
        <w:rPr>
          <w:rFonts w:ascii="Calibri" w:hAnsi="Calibri"/>
          <w:b w:val="0"/>
          <w:i w:val="0"/>
          <w:color w:val="1D1D1D"/>
          <w:sz w:val="20"/>
        </w:rPr>
        <w:t>The Company engages the Employee on fixed term employment from [START DATE] to [END DATE]. This is a written contract of employment for a fixed period within section 2(34) of the Code on Social Security, 2020 and, where the Employee is a worker, section 2(o) of the Industrial Relations Code, 2020.</w:t>
      </w:r>
    </w:p>
    <w:p>
      <w:pPr>
        <w:keepNext w:val="0"/>
        <w:spacing w:after="40" w:before="0"/>
      </w:pPr>
      <w:r>
        <w:rPr>
          <w:rFonts w:ascii="Calibri" w:hAnsi="Calibri"/>
          <w:b/>
          <w:i w:val="0"/>
          <w:color w:val="1D1D1D"/>
          <w:sz w:val="20"/>
        </w:rPr>
        <w:t>2.  Role</w:t>
      </w:r>
    </w:p>
    <w:p>
      <w:pPr>
        <w:keepNext w:val="0"/>
        <w:spacing w:after="160" w:before="0"/>
        <w:ind w:left="288"/>
      </w:pPr>
      <w:r>
        <w:rPr>
          <w:rFonts w:ascii="Calibri" w:hAnsi="Calibri"/>
          <w:b w:val="0"/>
          <w:i w:val="0"/>
          <w:color w:val="1D1D1D"/>
          <w:sz w:val="20"/>
        </w:rPr>
        <w:t>The Employee is engaged as [DESIGNATION] at [PLACE OF WORK] to do the work described in the attached job description.</w:t>
      </w:r>
    </w:p>
    <w:p>
      <w:pPr>
        <w:keepNext w:val="0"/>
        <w:spacing w:after="40" w:before="0"/>
      </w:pPr>
      <w:r>
        <w:rPr>
          <w:rFonts w:ascii="Calibri" w:hAnsi="Calibri"/>
          <w:b/>
          <w:i w:val="0"/>
          <w:color w:val="1D1D1D"/>
          <w:sz w:val="20"/>
        </w:rPr>
        <w:t>3.  Parity</w:t>
      </w:r>
    </w:p>
    <w:p>
      <w:pPr>
        <w:keepNext w:val="0"/>
        <w:spacing w:after="160" w:before="0"/>
        <w:ind w:left="288"/>
      </w:pPr>
      <w:r>
        <w:rPr>
          <w:rFonts w:ascii="Calibri" w:hAnsi="Calibri"/>
          <w:b w:val="0"/>
          <w:i w:val="0"/>
          <w:color w:val="1D1D1D"/>
          <w:sz w:val="20"/>
        </w:rPr>
        <w:t>The Employee's hours of work, wages, allowances and other benefits shall not be less than those of a permanent employee doing the same or similar work, namely [PERMANENT COMPARATOR ROLE] at [PLACE OF WORK].</w:t>
      </w:r>
    </w:p>
    <w:p>
      <w:pPr>
        <w:keepNext w:val="0"/>
        <w:spacing w:after="40" w:before="0"/>
      </w:pPr>
      <w:r>
        <w:rPr>
          <w:rFonts w:ascii="Calibri" w:hAnsi="Calibri"/>
          <w:b/>
          <w:i w:val="0"/>
          <w:color w:val="1D1D1D"/>
          <w:sz w:val="20"/>
        </w:rPr>
        <w:t>4.  Statutory benefits</w:t>
      </w:r>
    </w:p>
    <w:p>
      <w:pPr>
        <w:keepNext w:val="0"/>
        <w:spacing w:after="160" w:before="0"/>
        <w:ind w:left="288"/>
      </w:pPr>
      <w:r>
        <w:rPr>
          <w:rFonts w:ascii="Calibri" w:hAnsi="Calibri"/>
          <w:b w:val="0"/>
          <w:i w:val="0"/>
          <w:color w:val="1D1D1D"/>
          <w:sz w:val="20"/>
        </w:rPr>
        <w:t>The Employee is eligible for all statutory benefits available to a permanent employee, proportionately according to the period of service, even where the period does not extend to the qualifying period.</w:t>
      </w:r>
    </w:p>
    <w:p>
      <w:pPr>
        <w:keepNext w:val="0"/>
        <w:spacing w:after="40" w:before="0"/>
      </w:pPr>
      <w:r>
        <w:rPr>
          <w:rFonts w:ascii="Calibri" w:hAnsi="Calibri"/>
          <w:b/>
          <w:i w:val="0"/>
          <w:color w:val="1D1D1D"/>
          <w:sz w:val="20"/>
        </w:rPr>
        <w:t>5.  Gratuity</w:t>
      </w:r>
    </w:p>
    <w:p>
      <w:pPr>
        <w:keepNext w:val="0"/>
        <w:spacing w:after="160" w:before="0"/>
        <w:ind w:left="288"/>
      </w:pPr>
      <w:r>
        <w:rPr>
          <w:rFonts w:ascii="Calibri" w:hAnsi="Calibri"/>
          <w:b w:val="0"/>
          <w:i w:val="0"/>
          <w:color w:val="1D1D1D"/>
          <w:sz w:val="20"/>
        </w:rPr>
        <w:t>On the completion of this contract the Company shall pay gratuity as the Code on Social Security, 2020 and the rules that apply to this establishment require: fifteen days' wages for each year of service, on the wages last drawn. Where rule 33 of the Social Security (Central) Rules, 2026 applies, the Employee is eligible on at least one year of service under this contract, and any further period of more than six months counts as one additional year. The Company shall give notice of the amount and pay it within thirty days of it becoming payable.</w:t>
      </w:r>
    </w:p>
    <w:p>
      <w:pPr>
        <w:keepNext w:val="0"/>
        <w:spacing w:after="40" w:before="0"/>
      </w:pPr>
      <w:r>
        <w:rPr>
          <w:rFonts w:ascii="Calibri" w:hAnsi="Calibri"/>
          <w:b/>
          <w:i w:val="0"/>
          <w:color w:val="1D1D1D"/>
          <w:sz w:val="20"/>
        </w:rPr>
        <w:t>6.  End of the term</w:t>
      </w:r>
    </w:p>
    <w:p>
      <w:pPr>
        <w:keepNext w:val="0"/>
        <w:spacing w:after="160" w:before="0"/>
        <w:ind w:left="288"/>
      </w:pPr>
      <w:r>
        <w:rPr>
          <w:rFonts w:ascii="Calibri" w:hAnsi="Calibri"/>
          <w:b w:val="0"/>
          <w:i w:val="0"/>
          <w:color w:val="1D1D1D"/>
          <w:sz w:val="20"/>
        </w:rPr>
        <w:t>This employment ends on [END DATE] unless renewed in writing before that date. The Company will confirm the end date in writing not less than [NUMBER] days before it.</w:t>
      </w:r>
    </w:p>
    <w:p>
      <w:pPr>
        <w:keepNext w:val="0"/>
        <w:spacing w:after="40" w:before="0"/>
      </w:pPr>
      <w:r>
        <w:rPr>
          <w:rFonts w:ascii="Calibri" w:hAnsi="Calibri"/>
          <w:b/>
          <w:i w:val="0"/>
          <w:color w:val="1D1D1D"/>
          <w:sz w:val="20"/>
        </w:rPr>
        <w:t>7.  Renewal</w:t>
      </w:r>
    </w:p>
    <w:p>
      <w:pPr>
        <w:keepNext w:val="0"/>
        <w:spacing w:after="160" w:before="0"/>
        <w:ind w:left="288"/>
      </w:pPr>
      <w:r>
        <w:rPr>
          <w:rFonts w:ascii="Calibri" w:hAnsi="Calibri"/>
          <w:b w:val="0"/>
          <w:i w:val="0"/>
          <w:color w:val="1D1D1D"/>
          <w:sz w:val="20"/>
        </w:rPr>
        <w:t>Any renewal or extension shall be in writing, and service under this contract shall be counted from [START DATE] for every purpose that depends on length of service.</w:t>
      </w:r>
    </w:p>
    <w:p>
      <w:pPr>
        <w:keepNext w:val="0"/>
        <w:spacing w:after="40" w:before="0"/>
      </w:pPr>
      <w:r>
        <w:rPr>
          <w:rFonts w:ascii="Calibri" w:hAnsi="Calibri"/>
          <w:b/>
          <w:i w:val="0"/>
          <w:color w:val="1D1D1D"/>
          <w:sz w:val="20"/>
        </w:rPr>
        <w:t>8.  Earlier termination</w:t>
      </w:r>
    </w:p>
    <w:p>
      <w:pPr>
        <w:keepNext w:val="0"/>
        <w:spacing w:after="160" w:before="0"/>
        <w:ind w:left="288"/>
      </w:pPr>
      <w:r>
        <w:rPr>
          <w:rFonts w:ascii="Calibri" w:hAnsi="Calibri"/>
          <w:b w:val="0"/>
          <w:i w:val="0"/>
          <w:color w:val="1D1D1D"/>
          <w:sz w:val="20"/>
        </w:rPr>
        <w:t>Either party may end this contract before [END DATE] by [NUMBER] days' notice in writing, or wages in lieu where the Company ends it. Wages due shall be paid within two working days of the last working day.</w:t>
      </w:r>
    </w:p>
    <w:p>
      <w:pPr>
        <w:keepNext w:val="0"/>
        <w:spacing w:after="160" w:before="0"/>
        <w:ind w:left="216"/>
        <w:shd w:val="clear" w:fill="FFF8E8"/>
      </w:pPr>
      <w:r>
        <w:rPr>
          <w:rFonts w:ascii="Calibri" w:hAnsi="Calibri"/>
          <w:b w:val="0"/>
          <w:i w:val="0"/>
          <w:color w:val="1D1D1D"/>
          <w:sz w:val="20"/>
        </w:rPr>
        <w:t>Clause 5 defers to the law that applies rather than fixing a floor of its own. That matters for a manager in a single-State establishment: the Code sets no one-year floor there, the IR Code's year reaches only a worker, and a contract that imposed a year could give less than the law. Check your State's rules before adding one.</w:t>
      </w:r>
    </w:p>
    <w:p>
      <w:pPr>
        <w:keepNext w:val="0"/>
        <w:spacing w:after="80" w:before="0"/>
      </w:pPr>
      <w:r>
        <w:rPr>
          <w:rFonts w:ascii="Calibri" w:hAnsi="Calibri"/>
          <w:b w:val="0"/>
          <w:i w:val="0"/>
          <w:color w:val="1D1D1D"/>
          <w:sz w:val="19"/>
        </w:rPr>
        <w:t>For [COMPANY NAME]: ______________________       Employee: ______________________</w:t>
      </w:r>
    </w:p>
    <w:p>
      <w:r>
        <w:br w:type="page"/>
      </w:r>
    </w:p>
    <w:p>
      <w:pPr>
        <w:pStyle w:val="Heading1"/>
        <w:keepNext/>
        <w:spacing w:after="200" w:before="80"/>
        <w:ind w:left="115"/>
        <w:shd w:val="clear" w:fill="0069A4"/>
      </w:pPr>
      <w:r>
        <w:rPr>
          <w:rFonts w:ascii="Calibri" w:hAnsi="Calibri"/>
          <w:b/>
          <w:color w:val="FFFFFF"/>
          <w:sz w:val="20"/>
        </w:rPr>
        <w:t>FORMAT 02  ·  RENEWAL OR EXTENSION LETTER</w:t>
      </w:r>
    </w:p>
    <w:p>
      <w:pPr>
        <w:keepNext w:val="0"/>
        <w:spacing w:after="160" w:before="0"/>
        <w:ind w:left="144"/>
        <w:shd w:val="clear" w:fill="F4FAFE"/>
      </w:pPr>
      <w:r>
        <w:rPr>
          <w:rFonts w:ascii="Calibri" w:hAnsi="Calibri"/>
          <w:b w:val="0"/>
          <w:i/>
          <w:color w:val="565656"/>
          <w:sz w:val="18"/>
        </w:rPr>
        <w:t>Renew in writing before the end date and record the ORIGINAL start date. Gratuity is counted on service, and a renewal that restarts the clock on paper does not restart it in law.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[EMPLOYEE NAME], [DESIGNATION], Employee Code [CODE]</w:t>
      </w:r>
    </w:p>
    <w:p>
      <w:pPr>
        <w:keepNext w:val="0"/>
        <w:spacing w:after="120" w:before="0"/>
      </w:pPr>
      <w:r>
        <w:rPr>
          <w:rFonts w:ascii="Calibri" w:hAnsi="Calibri"/>
          <w:b w:val="0"/>
          <w:i w:val="0"/>
          <w:color w:val="1D1D1D"/>
          <w:sz w:val="20"/>
        </w:rPr>
        <w:t>Subject: Renewal of your fixed term employment</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Your fixed term employment under the contract dated [DD-MMM-YYYY] ends on [END DATE]. The Company renews it on the same terms from [DD-MMM-YYYY] to [NEW END DATE], [WITH THESE CHANGES: ...].</w:t>
      </w:r>
    </w:p>
    <w:p>
      <w:pPr>
        <w:keepNext w:val="0"/>
        <w:spacing w:after="120" w:before="0"/>
      </w:pPr>
      <w:r>
        <w:rPr>
          <w:rFonts w:ascii="Calibri" w:hAnsi="Calibri"/>
          <w:b w:val="0"/>
          <w:i w:val="0"/>
          <w:color w:val="1D1D1D"/>
          <w:sz w:val="20"/>
        </w:rPr>
        <w:t>Your service is counted from your original start date, [ORIGINAL START DATE], for gratuity and every other purpose that depends on length of service. This renewal does not restart that count.</w:t>
      </w:r>
    </w:p>
    <w:p>
      <w:pPr>
        <w:keepNext w:val="0"/>
        <w:spacing w:after="120" w:before="0"/>
      </w:pPr>
      <w:r>
        <w:rPr>
          <w:rFonts w:ascii="Calibri" w:hAnsi="Calibri"/>
          <w:b w:val="0"/>
          <w:i w:val="0"/>
          <w:color w:val="1D1D1D"/>
          <w:sz w:val="20"/>
        </w:rPr>
        <w:t>Please sign and return the enclosed copy before [END DATE].</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employee: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03  ·  COMPLETION OF TENURE LETTER</w:t>
      </w:r>
    </w:p>
    <w:p>
      <w:pPr>
        <w:keepNext w:val="0"/>
        <w:spacing w:after="160" w:before="0"/>
        <w:ind w:left="144"/>
        <w:shd w:val="clear" w:fill="F4FAFE"/>
      </w:pPr>
      <w:r>
        <w:rPr>
          <w:rFonts w:ascii="Calibri" w:hAnsi="Calibri"/>
          <w:b w:val="0"/>
          <w:i/>
          <w:color w:val="565656"/>
          <w:sz w:val="18"/>
        </w:rPr>
        <w:t>State the end date, the gratuity amount and when it will be paid. Completion of tenure is not a retrenchment, so no retrenchment compensation is owed, and gratuity still is.</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[EMPLOYEE NAME], [DESIGNATION], Employee Code [CODE]</w:t>
      </w:r>
    </w:p>
    <w:p>
      <w:pPr>
        <w:keepNext w:val="0"/>
        <w:spacing w:after="120" w:before="0"/>
      </w:pPr>
      <w:r>
        <w:rPr>
          <w:rFonts w:ascii="Calibri" w:hAnsi="Calibri"/>
          <w:b w:val="0"/>
          <w:i w:val="0"/>
          <w:color w:val="1D1D1D"/>
          <w:sz w:val="20"/>
        </w:rPr>
        <w:t>Subject: Completion of your fixed term employment</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Your fixed term employment under the contract dated [DD-MMM-YYYY] will be completed on [END DATE], which will be your last working day. The contract will not be renewed.</w:t>
      </w:r>
    </w:p>
    <w:p>
      <w:pPr>
        <w:keepNext w:val="0"/>
        <w:spacing w:after="120" w:before="0"/>
      </w:pPr>
      <w:r>
        <w:rPr>
          <w:rFonts w:ascii="Calibri" w:hAnsi="Calibri"/>
          <w:b w:val="0"/>
          <w:i w:val="0"/>
          <w:color w:val="1D1D1D"/>
          <w:sz w:val="20"/>
        </w:rPr>
        <w:t>Your service from [START DATE] to [END DATE] is [NUMBER] years and [NUMBER] months, which counts as [NUMBER] years for gratuity. The gratuity payable is ₹[AMOUNT], calculated in the enclosed statement in Form-V, and will be paid on or before [DD-MMM-YYYY], within thirty days of it becoming payable.</w:t>
      </w:r>
    </w:p>
    <w:p>
      <w:pPr>
        <w:keepNext w:val="0"/>
        <w:spacing w:after="120" w:before="0"/>
      </w:pPr>
      <w:r>
        <w:rPr>
          <w:rFonts w:ascii="Calibri" w:hAnsi="Calibri"/>
          <w:b w:val="0"/>
          <w:i w:val="0"/>
          <w:color w:val="1D1D1D"/>
          <w:sz w:val="20"/>
        </w:rPr>
        <w:t>Your wages will be paid in full within two working days of your last working day. [WHERE THE MODEL STANDING ORDERS APPLY: Your service certificate will be issued within ten days.]</w:t>
      </w:r>
    </w:p>
    <w:p>
      <w:pPr>
        <w:keepNext w:val="0"/>
        <w:spacing w:after="120" w:before="0"/>
      </w:pPr>
      <w:r>
        <w:rPr>
          <w:rFonts w:ascii="Calibri" w:hAnsi="Calibri"/>
          <w:b w:val="0"/>
          <w:i w:val="0"/>
          <w:color w:val="1D1D1D"/>
          <w:sz w:val="20"/>
        </w:rPr>
        <w:t>This is the completion of a fixed term, not a retrenchment.</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employee: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04  ·  GRATUITY WORKSHEET FOR FIXED TERM SERVICE</w:t>
      </w:r>
    </w:p>
    <w:p>
      <w:pPr>
        <w:keepNext w:val="0"/>
        <w:spacing w:after="160" w:before="0"/>
        <w:ind w:left="144"/>
        <w:shd w:val="clear" w:fill="F4FAFE"/>
      </w:pPr>
      <w:r>
        <w:rPr>
          <w:rFonts w:ascii="Calibri" w:hAnsi="Calibri"/>
          <w:b w:val="0"/>
          <w:i/>
          <w:color w:val="565656"/>
          <w:sz w:val="18"/>
        </w:rPr>
        <w:t>Two halves: the years, counted with the six-month rounding, and the wage, built the way section 2(88) defines it.</w:t>
      </w:r>
    </w:p>
    <w:p>
      <w:pPr>
        <w:keepNext w:val="0"/>
        <w:spacing w:after="80" w:before="0"/>
      </w:pPr>
      <w:r>
        <w:rPr>
          <w:rFonts w:ascii="Calibri" w:hAnsi="Calibri"/>
          <w:b/>
          <w:i w:val="0"/>
          <w:color w:val="1D1D1D"/>
          <w:sz w:val="20"/>
        </w:rPr>
        <w:t>Part 1.  The years</w:t>
      </w:r>
    </w:p>
    <w:tbl>
      <w:tblPr>
        <w:tblStyle w:val="TableGrid"/>
        <w:tblW w:type="auto" w:w="0"/>
        <w:tblLook w:firstColumn="1" w:firstRow="1" w:lastColumn="0" w:lastRow="0" w:noHBand="0" w:noVBand="1" w:val="04A0"/>
      </w:tblPr>
      <w:tblGrid>
        <w:gridCol w:w="2412"/>
        <w:gridCol w:w="2412"/>
        <w:gridCol w:w="2412"/>
        <w:gridCol w:w="2412"/>
      </w:tblGrid>
      <w:tr>
        <w:tc>
          <w:tcPr>
            <w:tcW w:type="dxa" w:w="720"/>
          </w:tcPr>
          <w:p>
            <w:pPr>
              <w:spacing w:after="40"/>
              <w:shd w:val="clear" w:fill="E8F4FC"/>
            </w:pPr>
            <w:r/>
            <w:r>
              <w:rPr>
                <w:rFonts w:ascii="Calibri" w:hAnsi="Calibri"/>
                <w:b/>
                <w:color w:val="0069A4"/>
                <w:sz w:val="18"/>
              </w:rPr>
              <w:t>Line</w:t>
            </w:r>
          </w:p>
        </w:tc>
        <w:tc>
          <w:tcPr>
            <w:tcW w:type="dxa" w:w="5616"/>
          </w:tcPr>
          <w:p>
            <w:pPr>
              <w:spacing w:after="40"/>
              <w:shd w:val="clear" w:fill="E8F4FC"/>
            </w:pPr>
            <w:r/>
            <w:r>
              <w:rPr>
                <w:rFonts w:ascii="Calibri" w:hAnsi="Calibri"/>
                <w:b/>
                <w:color w:val="0069A4"/>
                <w:sz w:val="18"/>
              </w:rPr>
              <w:t>What it is</w:t>
            </w:r>
          </w:p>
        </w:tc>
        <w:tc>
          <w:tcPr>
            <w:tcW w:type="dxa" w:w="1584"/>
          </w:tcPr>
          <w:p>
            <w:pPr>
              <w:spacing w:after="40"/>
              <w:shd w:val="clear" w:fill="E8F4FC"/>
            </w:pPr>
            <w:r/>
            <w:r>
              <w:rPr>
                <w:rFonts w:ascii="Calibri" w:hAnsi="Calibri"/>
                <w:b/>
                <w:color w:val="0069A4"/>
                <w:sz w:val="18"/>
              </w:rPr>
              <w:t>Example</w:t>
            </w:r>
          </w:p>
        </w:tc>
        <w:tc>
          <w:tcPr>
            <w:tcW w:type="dxa" w:w="1728"/>
          </w:tcPr>
          <w:p>
            <w:pPr>
              <w:spacing w:after="40"/>
              <w:shd w:val="clear" w:fill="E8F4FC"/>
            </w:pPr>
            <w:r/>
            <w:r>
              <w:rPr>
                <w:rFonts w:ascii="Calibri" w:hAnsi="Calibri"/>
                <w:b/>
                <w:color w:val="0069A4"/>
                <w:sz w:val="18"/>
              </w:rPr>
              <w:t>Your figures</w:t>
            </w:r>
          </w:p>
        </w:tc>
      </w:tr>
      <w:tr>
        <w:tc>
          <w:tcPr>
            <w:tcW w:type="dxa" w:w="720"/>
          </w:tcPr>
          <w:p>
            <w:pPr>
              <w:spacing w:after="40"/>
            </w:pPr>
            <w:r/>
            <w:r>
              <w:rPr>
                <w:rFonts w:ascii="Calibri" w:hAnsi="Calibri"/>
                <w:color w:val="565656"/>
                <w:sz w:val="18"/>
              </w:rPr>
              <w:t>A</w:t>
            </w:r>
          </w:p>
        </w:tc>
        <w:tc>
          <w:tcPr>
            <w:tcW w:type="dxa" w:w="5616"/>
          </w:tcPr>
          <w:p>
            <w:pPr>
              <w:spacing w:after="40"/>
            </w:pPr>
            <w:r/>
            <w:r>
              <w:rPr>
                <w:rFonts w:ascii="Calibri" w:hAnsi="Calibri"/>
                <w:color w:val="565656"/>
                <w:sz w:val="18"/>
              </w:rPr>
              <w:t>Contract start date</w:t>
            </w:r>
          </w:p>
        </w:tc>
        <w:tc>
          <w:tcPr>
            <w:tcW w:type="dxa" w:w="1584"/>
          </w:tcPr>
          <w:p>
            <w:pPr>
              <w:spacing w:after="40"/>
            </w:pPr>
            <w:r/>
            <w:r>
              <w:rPr>
                <w:rFonts w:ascii="Calibri" w:hAnsi="Calibri"/>
                <w:color w:val="565656"/>
                <w:sz w:val="18"/>
              </w:rPr>
              <w:t>01-Dec-2025</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B</w:t>
            </w:r>
          </w:p>
        </w:tc>
        <w:tc>
          <w:tcPr>
            <w:tcW w:type="dxa" w:w="5616"/>
          </w:tcPr>
          <w:p>
            <w:pPr>
              <w:spacing w:after="40"/>
            </w:pPr>
            <w:r/>
            <w:r>
              <w:rPr>
                <w:rFonts w:ascii="Calibri" w:hAnsi="Calibri"/>
                <w:color w:val="565656"/>
                <w:sz w:val="18"/>
              </w:rPr>
              <w:t>Contract end date</w:t>
            </w:r>
          </w:p>
        </w:tc>
        <w:tc>
          <w:tcPr>
            <w:tcW w:type="dxa" w:w="1584"/>
          </w:tcPr>
          <w:p>
            <w:pPr>
              <w:spacing w:after="40"/>
            </w:pPr>
            <w:r/>
            <w:r>
              <w:rPr>
                <w:rFonts w:ascii="Calibri" w:hAnsi="Calibri"/>
                <w:color w:val="565656"/>
                <w:sz w:val="18"/>
              </w:rPr>
              <w:t>30-Jun-2028</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C</w:t>
            </w:r>
          </w:p>
        </w:tc>
        <w:tc>
          <w:tcPr>
            <w:tcW w:type="dxa" w:w="5616"/>
          </w:tcPr>
          <w:p>
            <w:pPr>
              <w:spacing w:after="40"/>
            </w:pPr>
            <w:r/>
            <w:r>
              <w:rPr>
                <w:rFonts w:ascii="Calibri" w:hAnsi="Calibri"/>
                <w:color w:val="565656"/>
                <w:sz w:val="18"/>
              </w:rPr>
              <w:t>Completed years under the contract</w:t>
            </w:r>
          </w:p>
        </w:tc>
        <w:tc>
          <w:tcPr>
            <w:tcW w:type="dxa" w:w="1584"/>
          </w:tcPr>
          <w:p>
            <w:pPr>
              <w:spacing w:after="40"/>
            </w:pPr>
            <w:r/>
            <w:r>
              <w:rPr>
                <w:rFonts w:ascii="Calibri" w:hAnsi="Calibri"/>
                <w:color w:val="565656"/>
                <w:sz w:val="18"/>
              </w:rPr>
              <w:t>2</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D</w:t>
            </w:r>
          </w:p>
        </w:tc>
        <w:tc>
          <w:tcPr>
            <w:tcW w:type="dxa" w:w="5616"/>
          </w:tcPr>
          <w:p>
            <w:pPr>
              <w:spacing w:after="40"/>
            </w:pPr>
            <w:r/>
            <w:r>
              <w:rPr>
                <w:rFonts w:ascii="Calibri" w:hAnsi="Calibri"/>
                <w:color w:val="565656"/>
                <w:sz w:val="18"/>
              </w:rPr>
              <w:t>Further months beyond the completed years</w:t>
            </w:r>
          </w:p>
        </w:tc>
        <w:tc>
          <w:tcPr>
            <w:tcW w:type="dxa" w:w="1584"/>
          </w:tcPr>
          <w:p>
            <w:pPr>
              <w:spacing w:after="40"/>
            </w:pPr>
            <w:r/>
            <w:r>
              <w:rPr>
                <w:rFonts w:ascii="Calibri" w:hAnsi="Calibri"/>
                <w:color w:val="565656"/>
                <w:sz w:val="18"/>
              </w:rPr>
              <w:t>7</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E</w:t>
            </w:r>
          </w:p>
        </w:tc>
        <w:tc>
          <w:tcPr>
            <w:tcW w:type="dxa" w:w="5616"/>
          </w:tcPr>
          <w:p>
            <w:pPr>
              <w:spacing w:after="40"/>
            </w:pPr>
            <w:r/>
            <w:r>
              <w:rPr>
                <w:rFonts w:ascii="Calibri" w:hAnsi="Calibri"/>
                <w:color w:val="565656"/>
                <w:sz w:val="18"/>
              </w:rPr>
              <w:t>At least one year under the contract?</w:t>
            </w:r>
          </w:p>
        </w:tc>
        <w:tc>
          <w:tcPr>
            <w:tcW w:type="dxa" w:w="1584"/>
          </w:tcPr>
          <w:p>
            <w:pPr>
              <w:spacing w:after="40"/>
            </w:pPr>
            <w:r/>
            <w:r>
              <w:rPr>
                <w:rFonts w:ascii="Calibri" w:hAnsi="Calibri"/>
                <w:color w:val="565656"/>
                <w:sz w:val="18"/>
              </w:rPr>
              <w:t>Yes</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F</w:t>
            </w:r>
          </w:p>
        </w:tc>
        <w:tc>
          <w:tcPr>
            <w:tcW w:type="dxa" w:w="5616"/>
          </w:tcPr>
          <w:p>
            <w:pPr>
              <w:spacing w:after="40"/>
            </w:pPr>
            <w:r/>
            <w:r>
              <w:rPr>
                <w:rFonts w:ascii="Calibri" w:hAnsi="Calibri"/>
                <w:color w:val="565656"/>
                <w:sz w:val="18"/>
              </w:rPr>
              <w:t>Years counted: C, plus one if D is more than six</w:t>
            </w:r>
          </w:p>
        </w:tc>
        <w:tc>
          <w:tcPr>
            <w:tcW w:type="dxa" w:w="1584"/>
          </w:tcPr>
          <w:p>
            <w:pPr>
              <w:spacing w:after="40"/>
            </w:pPr>
            <w:r/>
            <w:r>
              <w:rPr>
                <w:rFonts w:ascii="Calibri" w:hAnsi="Calibri"/>
                <w:color w:val="565656"/>
                <w:sz w:val="18"/>
              </w:rPr>
              <w:t>3</w:t>
            </w:r>
          </w:p>
        </w:tc>
        <w:tc>
          <w:tcPr>
            <w:tcW w:type="dxa" w:w="1728"/>
          </w:tcPr>
          <w:p>
            <w:pPr>
              <w:spacing w:after="40"/>
            </w:pPr>
            <w:r/>
            <w:r>
              <w:rPr>
                <w:rFonts w:ascii="Calibri" w:hAnsi="Calibri"/>
                <w:color w:val="565656"/>
                <w:sz w:val="18"/>
              </w:rPr>
            </w:r>
          </w:p>
        </w:tc>
      </w:tr>
    </w:tbl>
    <w:p>
      <w:pPr>
        <w:keepNext w:val="0"/>
        <w:spacing w:after="120" w:before="0"/>
      </w:pPr>
      <w:r>
        <w:rPr>
          <w:rFonts w:ascii="Calibri" w:hAnsi="Calibri"/>
          <w:b w:val="0"/>
          <w:i w:val="0"/>
          <w:color w:val="1D1D1D"/>
          <w:sz w:val="21"/>
        </w:rPr>
      </w:r>
    </w:p>
    <w:p>
      <w:pPr>
        <w:keepNext w:val="0"/>
        <w:spacing w:after="80" w:before="0"/>
      </w:pPr>
      <w:r>
        <w:rPr>
          <w:rFonts w:ascii="Calibri" w:hAnsi="Calibri"/>
          <w:b/>
          <w:i w:val="0"/>
          <w:color w:val="1D1D1D"/>
          <w:sz w:val="20"/>
        </w:rPr>
        <w:t>Part 2.  The wage, and the gratuity</w:t>
      </w:r>
    </w:p>
    <w:tbl>
      <w:tblPr>
        <w:tblStyle w:val="TableGrid"/>
        <w:tblW w:type="auto" w:w="0"/>
        <w:tblLook w:firstColumn="1" w:firstRow="1" w:lastColumn="0" w:lastRow="0" w:noHBand="0" w:noVBand="1" w:val="04A0"/>
      </w:tblPr>
      <w:tblGrid>
        <w:gridCol w:w="2412"/>
        <w:gridCol w:w="2412"/>
        <w:gridCol w:w="2412"/>
        <w:gridCol w:w="2412"/>
      </w:tblGrid>
      <w:tr>
        <w:tc>
          <w:tcPr>
            <w:tcW w:type="dxa" w:w="720"/>
          </w:tcPr>
          <w:p>
            <w:pPr>
              <w:spacing w:after="40"/>
              <w:shd w:val="clear" w:fill="E8F4FC"/>
            </w:pPr>
            <w:r/>
            <w:r>
              <w:rPr>
                <w:rFonts w:ascii="Calibri" w:hAnsi="Calibri"/>
                <w:b/>
                <w:color w:val="0069A4"/>
                <w:sz w:val="18"/>
              </w:rPr>
              <w:t>Line</w:t>
            </w:r>
          </w:p>
        </w:tc>
        <w:tc>
          <w:tcPr>
            <w:tcW w:type="dxa" w:w="5616"/>
          </w:tcPr>
          <w:p>
            <w:pPr>
              <w:spacing w:after="40"/>
              <w:shd w:val="clear" w:fill="E8F4FC"/>
            </w:pPr>
            <w:r/>
            <w:r>
              <w:rPr>
                <w:rFonts w:ascii="Calibri" w:hAnsi="Calibri"/>
                <w:b/>
                <w:color w:val="0069A4"/>
                <w:sz w:val="18"/>
              </w:rPr>
              <w:t>What it is</w:t>
            </w:r>
          </w:p>
        </w:tc>
        <w:tc>
          <w:tcPr>
            <w:tcW w:type="dxa" w:w="1584"/>
          </w:tcPr>
          <w:p>
            <w:pPr>
              <w:spacing w:after="40"/>
              <w:shd w:val="clear" w:fill="E8F4FC"/>
            </w:pPr>
            <w:r/>
            <w:r>
              <w:rPr>
                <w:rFonts w:ascii="Calibri" w:hAnsi="Calibri"/>
                <w:b/>
                <w:color w:val="0069A4"/>
                <w:sz w:val="18"/>
              </w:rPr>
              <w:t>Example</w:t>
            </w:r>
          </w:p>
        </w:tc>
        <w:tc>
          <w:tcPr>
            <w:tcW w:type="dxa" w:w="1728"/>
          </w:tcPr>
          <w:p>
            <w:pPr>
              <w:spacing w:after="40"/>
              <w:shd w:val="clear" w:fill="E8F4FC"/>
            </w:pPr>
            <w:r/>
            <w:r>
              <w:rPr>
                <w:rFonts w:ascii="Calibri" w:hAnsi="Calibri"/>
                <w:b/>
                <w:color w:val="0069A4"/>
                <w:sz w:val="18"/>
              </w:rPr>
              <w:t>Your figures</w:t>
            </w:r>
          </w:p>
        </w:tc>
      </w:tr>
      <w:tr>
        <w:tc>
          <w:tcPr>
            <w:tcW w:type="dxa" w:w="720"/>
          </w:tcPr>
          <w:p>
            <w:pPr>
              <w:spacing w:after="40"/>
            </w:pPr>
            <w:r/>
            <w:r>
              <w:rPr>
                <w:rFonts w:ascii="Calibri" w:hAnsi="Calibri"/>
                <w:color w:val="565656"/>
                <w:sz w:val="18"/>
              </w:rPr>
              <w:t>G</w:t>
            </w:r>
          </w:p>
        </w:tc>
        <w:tc>
          <w:tcPr>
            <w:tcW w:type="dxa" w:w="5616"/>
          </w:tcPr>
          <w:p>
            <w:pPr>
              <w:spacing w:after="40"/>
            </w:pPr>
            <w:r/>
            <w:r>
              <w:rPr>
                <w:rFonts w:ascii="Calibri" w:hAnsi="Calibri"/>
                <w:color w:val="565656"/>
                <w:sz w:val="18"/>
              </w:rPr>
              <w:t>Total monthly remuneration</w:t>
            </w:r>
          </w:p>
        </w:tc>
        <w:tc>
          <w:tcPr>
            <w:tcW w:type="dxa" w:w="1584"/>
          </w:tcPr>
          <w:p>
            <w:pPr>
              <w:spacing w:after="40"/>
            </w:pPr>
            <w:r/>
            <w:r>
              <w:rPr>
                <w:rFonts w:ascii="Calibri" w:hAnsi="Calibri"/>
                <w:color w:val="565656"/>
                <w:sz w:val="18"/>
              </w:rPr>
              <w:t>₹40,000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H</w:t>
            </w:r>
          </w:p>
        </w:tc>
        <w:tc>
          <w:tcPr>
            <w:tcW w:type="dxa" w:w="5616"/>
          </w:tcPr>
          <w:p>
            <w:pPr>
              <w:spacing w:after="40"/>
            </w:pPr>
            <w:r/>
            <w:r>
              <w:rPr>
                <w:rFonts w:ascii="Calibri" w:hAnsi="Calibri"/>
                <w:color w:val="565656"/>
                <w:sz w:val="18"/>
              </w:rPr>
              <w:t>Basic pay, dearness allowance and retaining allowance</w:t>
            </w:r>
          </w:p>
        </w:tc>
        <w:tc>
          <w:tcPr>
            <w:tcW w:type="dxa" w:w="1584"/>
          </w:tcPr>
          <w:p>
            <w:pPr>
              <w:spacing w:after="40"/>
            </w:pPr>
            <w:r/>
            <w:r>
              <w:rPr>
                <w:rFonts w:ascii="Calibri" w:hAnsi="Calibri"/>
                <w:color w:val="565656"/>
                <w:sz w:val="18"/>
              </w:rPr>
              <w:t>₹16,000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I</w:t>
            </w:r>
          </w:p>
        </w:tc>
        <w:tc>
          <w:tcPr>
            <w:tcW w:type="dxa" w:w="5616"/>
          </w:tcPr>
          <w:p>
            <w:pPr>
              <w:spacing w:after="40"/>
            </w:pPr>
            <w:r/>
            <w:r>
              <w:rPr>
                <w:rFonts w:ascii="Calibri" w:hAnsi="Calibri"/>
                <w:color w:val="565656"/>
                <w:sz w:val="18"/>
              </w:rPr>
              <w:t>Everything else: G less H</w:t>
            </w:r>
          </w:p>
        </w:tc>
        <w:tc>
          <w:tcPr>
            <w:tcW w:type="dxa" w:w="1584"/>
          </w:tcPr>
          <w:p>
            <w:pPr>
              <w:spacing w:after="40"/>
            </w:pPr>
            <w:r/>
            <w:r>
              <w:rPr>
                <w:rFonts w:ascii="Calibri" w:hAnsi="Calibri"/>
                <w:color w:val="565656"/>
                <w:sz w:val="18"/>
              </w:rPr>
              <w:t>₹24,000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J</w:t>
            </w:r>
          </w:p>
        </w:tc>
        <w:tc>
          <w:tcPr>
            <w:tcW w:type="dxa" w:w="5616"/>
          </w:tcPr>
          <w:p>
            <w:pPr>
              <w:spacing w:after="40"/>
            </w:pPr>
            <w:r/>
            <w:r>
              <w:rPr>
                <w:rFonts w:ascii="Calibri" w:hAnsi="Calibri"/>
                <w:color w:val="565656"/>
                <w:sz w:val="18"/>
              </w:rPr>
              <w:t>One-half of G</w:t>
            </w:r>
          </w:p>
        </w:tc>
        <w:tc>
          <w:tcPr>
            <w:tcW w:type="dxa" w:w="1584"/>
          </w:tcPr>
          <w:p>
            <w:pPr>
              <w:spacing w:after="40"/>
            </w:pPr>
            <w:r/>
            <w:r>
              <w:rPr>
                <w:rFonts w:ascii="Calibri" w:hAnsi="Calibri"/>
                <w:color w:val="565656"/>
                <w:sz w:val="18"/>
              </w:rPr>
              <w:t>₹20,000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K</w:t>
            </w:r>
          </w:p>
        </w:tc>
        <w:tc>
          <w:tcPr>
            <w:tcW w:type="dxa" w:w="5616"/>
          </w:tcPr>
          <w:p>
            <w:pPr>
              <w:spacing w:after="40"/>
            </w:pPr>
            <w:r/>
            <w:r>
              <w:rPr>
                <w:rFonts w:ascii="Calibri" w:hAnsi="Calibri"/>
                <w:color w:val="565656"/>
                <w:sz w:val="18"/>
              </w:rPr>
              <w:t>Excess added back: I less J, if more than nil</w:t>
            </w:r>
          </w:p>
        </w:tc>
        <w:tc>
          <w:tcPr>
            <w:tcW w:type="dxa" w:w="1584"/>
          </w:tcPr>
          <w:p>
            <w:pPr>
              <w:spacing w:after="40"/>
            </w:pPr>
            <w:r/>
            <w:r>
              <w:rPr>
                <w:rFonts w:ascii="Calibri" w:hAnsi="Calibri"/>
                <w:color w:val="565656"/>
                <w:sz w:val="18"/>
              </w:rPr>
              <w:t>₹4,000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L</w:t>
            </w:r>
          </w:p>
        </w:tc>
        <w:tc>
          <w:tcPr>
            <w:tcW w:type="dxa" w:w="5616"/>
          </w:tcPr>
          <w:p>
            <w:pPr>
              <w:spacing w:after="40"/>
            </w:pPr>
            <w:r/>
            <w:r>
              <w:rPr>
                <w:rFonts w:ascii="Calibri" w:hAnsi="Calibri"/>
                <w:color w:val="565656"/>
                <w:sz w:val="18"/>
              </w:rPr>
              <w:t>Wages last drawn: H plus K</w:t>
            </w:r>
          </w:p>
        </w:tc>
        <w:tc>
          <w:tcPr>
            <w:tcW w:type="dxa" w:w="1584"/>
          </w:tcPr>
          <w:p>
            <w:pPr>
              <w:spacing w:after="40"/>
            </w:pPr>
            <w:r/>
            <w:r>
              <w:rPr>
                <w:rFonts w:ascii="Calibri" w:hAnsi="Calibri"/>
                <w:color w:val="565656"/>
                <w:sz w:val="18"/>
              </w:rPr>
              <w:t>₹20,000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M</w:t>
            </w:r>
          </w:p>
        </w:tc>
        <w:tc>
          <w:tcPr>
            <w:tcW w:type="dxa" w:w="5616"/>
          </w:tcPr>
          <w:p>
            <w:pPr>
              <w:spacing w:after="40"/>
            </w:pPr>
            <w:r/>
            <w:r>
              <w:rPr>
                <w:rFonts w:ascii="Calibri" w:hAnsi="Calibri"/>
                <w:color w:val="565656"/>
                <w:sz w:val="18"/>
              </w:rPr>
              <w:t>Fifteen days' wages: L divided by 26, times 15</w:t>
            </w:r>
          </w:p>
        </w:tc>
        <w:tc>
          <w:tcPr>
            <w:tcW w:type="dxa" w:w="1584"/>
          </w:tcPr>
          <w:p>
            <w:pPr>
              <w:spacing w:after="40"/>
            </w:pPr>
            <w:r/>
            <w:r>
              <w:rPr>
                <w:rFonts w:ascii="Calibri" w:hAnsi="Calibri"/>
                <w:color w:val="565656"/>
                <w:sz w:val="18"/>
              </w:rPr>
              <w:t>₹11,538.46</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N</w:t>
            </w:r>
          </w:p>
        </w:tc>
        <w:tc>
          <w:tcPr>
            <w:tcW w:type="dxa" w:w="5616"/>
          </w:tcPr>
          <w:p>
            <w:pPr>
              <w:spacing w:after="40"/>
            </w:pPr>
            <w:r/>
            <w:r>
              <w:rPr>
                <w:rFonts w:ascii="Calibri" w:hAnsi="Calibri"/>
                <w:color w:val="565656"/>
                <w:sz w:val="18"/>
              </w:rPr>
              <w:t>Gratuity: M times F, rounded to the rupee</w:t>
            </w:r>
          </w:p>
        </w:tc>
        <w:tc>
          <w:tcPr>
            <w:tcW w:type="dxa" w:w="1584"/>
          </w:tcPr>
          <w:p>
            <w:pPr>
              <w:spacing w:after="40"/>
            </w:pPr>
            <w:r/>
            <w:r>
              <w:rPr>
                <w:rFonts w:ascii="Calibri" w:hAnsi="Calibri"/>
                <w:color w:val="565656"/>
                <w:sz w:val="18"/>
              </w:rPr>
              <w:t>₹34,615</w:t>
            </w:r>
          </w:p>
        </w:tc>
        <w:tc>
          <w:tcPr>
            <w:tcW w:type="dxa" w:w="1728"/>
          </w:tcPr>
          <w:p>
            <w:pPr>
              <w:spacing w:after="40"/>
            </w:pPr>
            <w:r/>
            <w:r>
              <w:rPr>
                <w:rFonts w:ascii="Calibri" w:hAnsi="Calibri"/>
                <w:color w:val="565656"/>
                <w:sz w:val="18"/>
              </w:rPr>
            </w:r>
          </w:p>
        </w:tc>
      </w:tr>
    </w:tbl>
    <w:p>
      <w:pPr>
        <w:keepNext w:val="0"/>
        <w:spacing w:after="120" w:before="0"/>
      </w:pPr>
      <w:r>
        <w:rPr>
          <w:rFonts w:ascii="Calibri" w:hAnsi="Calibri"/>
          <w:b w:val="0"/>
          <w:i w:val="0"/>
          <w:color w:val="1D1D1D"/>
          <w:sz w:val="21"/>
        </w:rPr>
      </w:r>
    </w:p>
    <w:p>
      <w:pPr>
        <w:keepNext w:val="0"/>
        <w:spacing w:after="120" w:before="0"/>
      </w:pPr>
      <w:r>
        <w:rPr>
          <w:rFonts w:ascii="Calibri" w:hAnsi="Calibri"/>
          <w:b w:val="0"/>
          <w:i/>
          <w:color w:val="565656"/>
          <w:sz w:val="18"/>
        </w:rPr>
        <w:t>Line E decides whether anything is due at all. Line F is where most errors happen: seven further months count as a year, five do not. Line K is nil wherever the pay outside basic, dearness allowance and retaining allowance is one-half of total remuneration or less.</w:t>
      </w:r>
    </w:p>
    <w:p>
      <w:r>
        <w:br w:type="page"/>
      </w:r>
    </w:p>
    <w:p>
      <w:pPr>
        <w:pStyle w:val="Heading1"/>
        <w:keepNext/>
        <w:spacing w:after="200" w:before="80"/>
        <w:ind w:left="115"/>
        <w:shd w:val="clear" w:fill="0069A4"/>
      </w:pPr>
      <w:r>
        <w:rPr>
          <w:rFonts w:ascii="Calibri" w:hAnsi="Calibri"/>
          <w:b/>
          <w:color w:val="FFFFFF"/>
          <w:sz w:val="20"/>
        </w:rPr>
        <w:t>FORMAT 05  ·  NOTICE OF GRATUITY PAYABLE, FORM-V</w:t>
      </w:r>
    </w:p>
    <w:p>
      <w:pPr>
        <w:keepNext w:val="0"/>
        <w:spacing w:after="160" w:before="0"/>
        <w:ind w:left="144"/>
        <w:shd w:val="clear" w:fill="F4FAFE"/>
      </w:pPr>
      <w:r>
        <w:rPr>
          <w:rFonts w:ascii="Calibri" w:hAnsi="Calibri"/>
          <w:b w:val="0"/>
          <w:i/>
          <w:color w:val="565656"/>
          <w:sz w:val="18"/>
        </w:rPr>
        <w:t>Send it whether or not the employee applies, with the brief statement of calculation the form asks for and a copy to the competent authority.</w:t>
      </w:r>
    </w:p>
    <w:p>
      <w:pPr>
        <w:keepNext w:val="0"/>
        <w:spacing w:after="40" w:before="0"/>
      </w:pPr>
      <w:r>
        <w:rPr>
          <w:rFonts w:ascii="Calibri" w:hAnsi="Calibri"/>
          <w:b/>
          <w:i w:val="0"/>
          <w:color w:val="1D1D1D"/>
          <w:sz w:val="20"/>
        </w:rPr>
        <w:t>FORM-V  [See rule 33(2)]</w:t>
      </w:r>
    </w:p>
    <w:p>
      <w:pPr>
        <w:keepNext w:val="0"/>
        <w:spacing w:after="160" w:before="0"/>
      </w:pPr>
      <w:r>
        <w:rPr>
          <w:rFonts w:ascii="Calibri" w:hAnsi="Calibri"/>
          <w:b w:val="0"/>
          <w:i/>
          <w:color w:val="1D1D1D"/>
          <w:sz w:val="19"/>
        </w:rPr>
        <w:t>Notice for payment/rejecting claim of gratuity (strike out the words not applicable)</w:t>
      </w:r>
    </w:p>
    <w:p>
      <w:pPr>
        <w:keepNext w:val="0"/>
        <w:spacing w:after="120" w:before="0"/>
      </w:pPr>
      <w:r>
        <w:rPr>
          <w:rFonts w:ascii="Calibri" w:hAnsi="Calibri"/>
          <w:b w:val="0"/>
          <w:i w:val="0"/>
          <w:color w:val="1D1D1D"/>
          <w:sz w:val="20"/>
        </w:rPr>
        <w:t>To: [NAME AND ADDRESS OF THE APPLICANT EMPLOYEE / NOMINEE / LEGAL HEIR]</w:t>
      </w:r>
    </w:p>
    <w:p>
      <w:pPr>
        <w:keepNext w:val="0"/>
        <w:spacing w:after="120" w:before="0"/>
      </w:pPr>
      <w:r>
        <w:rPr>
          <w:rFonts w:ascii="Calibri" w:hAnsi="Calibri"/>
          <w:b w:val="0"/>
          <w:i w:val="0"/>
          <w:color w:val="1D1D1D"/>
          <w:sz w:val="20"/>
        </w:rPr>
        <w:t>You are hereby informed that (a) as required under sub-clause (ii) of clause (a) of sub-rule (2) of rule 33 of the Social Security (Central) Rules, 2026, your claim for payment of gratuity as indicated in your application in Form-IV is not admissible for the reasons stated below: [REASONS]; or</w:t>
      </w:r>
    </w:p>
    <w:p>
      <w:pPr>
        <w:keepNext w:val="0"/>
        <w:spacing w:after="120" w:before="0"/>
      </w:pPr>
      <w:r>
        <w:rPr>
          <w:rFonts w:ascii="Calibri" w:hAnsi="Calibri"/>
          <w:b w:val="0"/>
          <w:i w:val="0"/>
          <w:color w:val="1D1D1D"/>
          <w:sz w:val="20"/>
        </w:rPr>
        <w:t>(b) as required under sub-clause (i) of clause (a) of sub-rule (2) of rule 33, a sum of ₹[AMOUNT] (Rupees [IN WORDS]) is payable to you as gratuity.</w:t>
      </w:r>
    </w:p>
    <w:p>
      <w:pPr>
        <w:keepNext w:val="0"/>
        <w:spacing w:after="120" w:before="0"/>
      </w:pPr>
      <w:r>
        <w:rPr>
          <w:rFonts w:ascii="Calibri" w:hAnsi="Calibri"/>
          <w:b w:val="0"/>
          <w:i w:val="0"/>
          <w:color w:val="1D1D1D"/>
          <w:sz w:val="20"/>
        </w:rPr>
        <w:t>2. Please call at [PLACE] on [DATE] at [TIME] for collecting your payment of gratuity by crossed cheque.</w:t>
      </w:r>
    </w:p>
    <w:p>
      <w:pPr>
        <w:keepNext w:val="0"/>
        <w:spacing w:after="120" w:before="0"/>
      </w:pPr>
      <w:r>
        <w:rPr>
          <w:rFonts w:ascii="Calibri" w:hAnsi="Calibri"/>
          <w:b w:val="0"/>
          <w:i w:val="0"/>
          <w:color w:val="1D1D1D"/>
          <w:sz w:val="20"/>
        </w:rPr>
        <w:t>3. Amount payable shall be sent to you through demand draft or credited in your bank account as desired by you.</w:t>
      </w:r>
    </w:p>
    <w:p>
      <w:pPr>
        <w:keepNext w:val="0"/>
        <w:spacing w:after="120" w:before="0"/>
      </w:pPr>
      <w:r>
        <w:rPr>
          <w:rFonts w:ascii="Calibri" w:hAnsi="Calibri"/>
          <w:b w:val="0"/>
          <w:i w:val="0"/>
          <w:color w:val="1D1D1D"/>
          <w:sz w:val="20"/>
        </w:rPr>
        <w:t>4. Brief statement of calculation:</w:t>
      </w:r>
    </w:p>
    <w:tbl>
      <w:tblPr>
        <w:tblStyle w:val="TableGrid"/>
        <w:tblW w:type="auto" w:w="0"/>
        <w:tblLook w:firstColumn="1" w:firstRow="1" w:lastColumn="0" w:lastRow="0" w:noHBand="0" w:noVBand="1" w:val="04A0"/>
      </w:tblPr>
      <w:tblGrid>
        <w:gridCol w:w="3216"/>
        <w:gridCol w:w="3216"/>
        <w:gridCol w:w="3216"/>
      </w:tblGrid>
      <w:tr>
        <w:tc>
          <w:tcPr>
            <w:tcW w:type="dxa" w:w="576"/>
          </w:tcPr>
          <w:p>
            <w:pPr>
              <w:spacing w:after="40"/>
              <w:shd w:val="clear" w:fill="E8F4FC"/>
            </w:pPr>
            <w:r/>
            <w:r>
              <w:rPr>
                <w:rFonts w:ascii="Calibri" w:hAnsi="Calibri"/>
                <w:b/>
                <w:color w:val="0069A4"/>
                <w:sz w:val="18"/>
              </w:rPr>
            </w:r>
          </w:p>
        </w:tc>
        <w:tc>
          <w:tcPr>
            <w:tcW w:type="dxa" w:w="6192"/>
          </w:tcPr>
          <w:p>
            <w:pPr>
              <w:spacing w:after="40"/>
              <w:shd w:val="clear" w:fill="E8F4FC"/>
            </w:pPr>
            <w:r/>
            <w:r>
              <w:rPr>
                <w:rFonts w:ascii="Calibri" w:hAnsi="Calibri"/>
                <w:b/>
                <w:color w:val="0069A4"/>
                <w:sz w:val="18"/>
              </w:rPr>
              <w:t>Particular</w:t>
            </w:r>
          </w:p>
        </w:tc>
        <w:tc>
          <w:tcPr>
            <w:tcW w:type="dxa" w:w="2880"/>
          </w:tcPr>
          <w:p>
            <w:pPr>
              <w:spacing w:after="40"/>
              <w:shd w:val="clear" w:fill="E8F4FC"/>
            </w:pPr>
            <w:r/>
            <w:r>
              <w:rPr>
                <w:rFonts w:ascii="Calibri" w:hAnsi="Calibri"/>
                <w:b/>
                <w:color w:val="0069A4"/>
                <w:sz w:val="18"/>
              </w:rPr>
              <w:t>Entry</w:t>
            </w:r>
          </w:p>
        </w:tc>
      </w:tr>
      <w:tr>
        <w:tc>
          <w:tcPr>
            <w:tcW w:type="dxa" w:w="576"/>
          </w:tcPr>
          <w:p>
            <w:pPr>
              <w:spacing w:after="40"/>
            </w:pPr>
            <w:r/>
            <w:r>
              <w:rPr>
                <w:rFonts w:ascii="Calibri" w:hAnsi="Calibri"/>
                <w:color w:val="565656"/>
                <w:sz w:val="18"/>
              </w:rPr>
              <w:t>a.</w:t>
            </w:r>
          </w:p>
        </w:tc>
        <w:tc>
          <w:tcPr>
            <w:tcW w:type="dxa" w:w="6192"/>
          </w:tcPr>
          <w:p>
            <w:pPr>
              <w:spacing w:after="40"/>
            </w:pPr>
            <w:r/>
            <w:r>
              <w:rPr>
                <w:rFonts w:ascii="Calibri" w:hAnsi="Calibri"/>
                <w:color w:val="565656"/>
                <w:sz w:val="18"/>
              </w:rPr>
              <w:t>Date of appointment</w:t>
            </w:r>
          </w:p>
        </w:tc>
        <w:tc>
          <w:tcPr>
            <w:tcW w:type="dxa" w:w="2880"/>
          </w:tcPr>
          <w:p>
            <w:pPr>
              <w:spacing w:after="40"/>
            </w:pPr>
            <w:r/>
            <w:r>
              <w:rPr>
                <w:rFonts w:ascii="Calibri" w:hAnsi="Calibri"/>
                <w:color w:val="565656"/>
                <w:sz w:val="18"/>
              </w:rPr>
              <w:t>[DD-MMM-YYYY]</w:t>
            </w:r>
          </w:p>
        </w:tc>
      </w:tr>
      <w:tr>
        <w:tc>
          <w:tcPr>
            <w:tcW w:type="dxa" w:w="576"/>
          </w:tcPr>
          <w:p>
            <w:pPr>
              <w:spacing w:after="40"/>
            </w:pPr>
            <w:r/>
            <w:r>
              <w:rPr>
                <w:rFonts w:ascii="Calibri" w:hAnsi="Calibri"/>
                <w:color w:val="565656"/>
                <w:sz w:val="18"/>
              </w:rPr>
              <w:t>b.</w:t>
            </w:r>
          </w:p>
        </w:tc>
        <w:tc>
          <w:tcPr>
            <w:tcW w:type="dxa" w:w="6192"/>
          </w:tcPr>
          <w:p>
            <w:pPr>
              <w:spacing w:after="40"/>
            </w:pPr>
            <w:r/>
            <w:r>
              <w:rPr>
                <w:rFonts w:ascii="Calibri" w:hAnsi="Calibri"/>
                <w:color w:val="565656"/>
                <w:sz w:val="18"/>
              </w:rPr>
              <w:t>Date of termination (completion of contract period under fixed term employment)</w:t>
            </w:r>
          </w:p>
        </w:tc>
        <w:tc>
          <w:tcPr>
            <w:tcW w:type="dxa" w:w="2880"/>
          </w:tcPr>
          <w:p>
            <w:pPr>
              <w:spacing w:after="40"/>
            </w:pPr>
            <w:r/>
            <w:r>
              <w:rPr>
                <w:rFonts w:ascii="Calibri" w:hAnsi="Calibri"/>
                <w:color w:val="565656"/>
                <w:sz w:val="18"/>
              </w:rPr>
              <w:t>[DD-MMM-YYYY]</w:t>
            </w:r>
          </w:p>
        </w:tc>
      </w:tr>
      <w:tr>
        <w:tc>
          <w:tcPr>
            <w:tcW w:type="dxa" w:w="576"/>
          </w:tcPr>
          <w:p>
            <w:pPr>
              <w:spacing w:after="40"/>
            </w:pPr>
            <w:r/>
            <w:r>
              <w:rPr>
                <w:rFonts w:ascii="Calibri" w:hAnsi="Calibri"/>
                <w:color w:val="565656"/>
                <w:sz w:val="18"/>
              </w:rPr>
              <w:t>c.</w:t>
            </w:r>
          </w:p>
        </w:tc>
        <w:tc>
          <w:tcPr>
            <w:tcW w:type="dxa" w:w="6192"/>
          </w:tcPr>
          <w:p>
            <w:pPr>
              <w:spacing w:after="40"/>
            </w:pPr>
            <w:r/>
            <w:r>
              <w:rPr>
                <w:rFonts w:ascii="Calibri" w:hAnsi="Calibri"/>
                <w:color w:val="565656"/>
                <w:sz w:val="18"/>
              </w:rPr>
              <w:t>Total period of service</w:t>
            </w:r>
          </w:p>
        </w:tc>
        <w:tc>
          <w:tcPr>
            <w:tcW w:type="dxa" w:w="2880"/>
          </w:tcPr>
          <w:p>
            <w:pPr>
              <w:spacing w:after="40"/>
            </w:pPr>
            <w:r/>
            <w:r>
              <w:rPr>
                <w:rFonts w:ascii="Calibri" w:hAnsi="Calibri"/>
                <w:color w:val="565656"/>
                <w:sz w:val="18"/>
              </w:rPr>
              <w:t>[NUMBER] years [NUMBER] months</w:t>
            </w:r>
          </w:p>
        </w:tc>
      </w:tr>
      <w:tr>
        <w:tc>
          <w:tcPr>
            <w:tcW w:type="dxa" w:w="576"/>
          </w:tcPr>
          <w:p>
            <w:pPr>
              <w:spacing w:after="40"/>
            </w:pPr>
            <w:r/>
            <w:r>
              <w:rPr>
                <w:rFonts w:ascii="Calibri" w:hAnsi="Calibri"/>
                <w:color w:val="565656"/>
                <w:sz w:val="18"/>
              </w:rPr>
              <w:t>d.</w:t>
            </w:r>
          </w:p>
        </w:tc>
        <w:tc>
          <w:tcPr>
            <w:tcW w:type="dxa" w:w="6192"/>
          </w:tcPr>
          <w:p>
            <w:pPr>
              <w:spacing w:after="40"/>
            </w:pPr>
            <w:r/>
            <w:r>
              <w:rPr>
                <w:rFonts w:ascii="Calibri" w:hAnsi="Calibri"/>
                <w:color w:val="565656"/>
                <w:sz w:val="18"/>
              </w:rPr>
              <w:t>Wages last drawn</w:t>
            </w:r>
          </w:p>
        </w:tc>
        <w:tc>
          <w:tcPr>
            <w:tcW w:type="dxa" w:w="2880"/>
          </w:tcPr>
          <w:p>
            <w:pPr>
              <w:spacing w:after="40"/>
            </w:pPr>
            <w:r/>
            <w:r>
              <w:rPr>
                <w:rFonts w:ascii="Calibri" w:hAnsi="Calibri"/>
                <w:color w:val="565656"/>
                <w:sz w:val="18"/>
              </w:rPr>
              <w:t>₹[AMOUNT]</w:t>
            </w:r>
          </w:p>
        </w:tc>
      </w:tr>
      <w:tr>
        <w:tc>
          <w:tcPr>
            <w:tcW w:type="dxa" w:w="576"/>
          </w:tcPr>
          <w:p>
            <w:pPr>
              <w:spacing w:after="40"/>
            </w:pPr>
            <w:r/>
            <w:r>
              <w:rPr>
                <w:rFonts w:ascii="Calibri" w:hAnsi="Calibri"/>
                <w:color w:val="565656"/>
                <w:sz w:val="18"/>
              </w:rPr>
              <w:t>e.</w:t>
            </w:r>
          </w:p>
        </w:tc>
        <w:tc>
          <w:tcPr>
            <w:tcW w:type="dxa" w:w="6192"/>
          </w:tcPr>
          <w:p>
            <w:pPr>
              <w:spacing w:after="40"/>
            </w:pPr>
            <w:r/>
            <w:r>
              <w:rPr>
                <w:rFonts w:ascii="Calibri" w:hAnsi="Calibri"/>
                <w:color w:val="565656"/>
                <w:sz w:val="18"/>
              </w:rPr>
              <w:t>Proportion payable in terms of nomination / as a legal heir</w:t>
            </w:r>
          </w:p>
        </w:tc>
        <w:tc>
          <w:tcPr>
            <w:tcW w:type="dxa" w:w="2880"/>
          </w:tcPr>
          <w:p>
            <w:pPr>
              <w:spacing w:after="40"/>
            </w:pPr>
            <w:r/>
            <w:r>
              <w:rPr>
                <w:rFonts w:ascii="Calibri" w:hAnsi="Calibri"/>
                <w:color w:val="565656"/>
                <w:sz w:val="18"/>
              </w:rPr>
              <w:t>[WHERE APPLICABLE]</w:t>
            </w:r>
          </w:p>
        </w:tc>
      </w:tr>
      <w:tr>
        <w:tc>
          <w:tcPr>
            <w:tcW w:type="dxa" w:w="576"/>
          </w:tcPr>
          <w:p>
            <w:pPr>
              <w:spacing w:after="40"/>
            </w:pPr>
            <w:r/>
            <w:r>
              <w:rPr>
                <w:rFonts w:ascii="Calibri" w:hAnsi="Calibri"/>
                <w:color w:val="565656"/>
                <w:sz w:val="18"/>
              </w:rPr>
              <w:t>f.</w:t>
            </w:r>
          </w:p>
        </w:tc>
        <w:tc>
          <w:tcPr>
            <w:tcW w:type="dxa" w:w="6192"/>
          </w:tcPr>
          <w:p>
            <w:pPr>
              <w:spacing w:after="40"/>
            </w:pPr>
            <w:r/>
            <w:r>
              <w:rPr>
                <w:rFonts w:ascii="Calibri" w:hAnsi="Calibri"/>
                <w:color w:val="565656"/>
                <w:sz w:val="18"/>
              </w:rPr>
              <w:t>Amount payable</w:t>
            </w:r>
          </w:p>
        </w:tc>
        <w:tc>
          <w:tcPr>
            <w:tcW w:type="dxa" w:w="2880"/>
          </w:tcPr>
          <w:p>
            <w:pPr>
              <w:spacing w:after="40"/>
            </w:pPr>
            <w:r/>
            <w:r>
              <w:rPr>
                <w:rFonts w:ascii="Calibri" w:hAnsi="Calibri"/>
                <w:color w:val="565656"/>
                <w:sz w:val="18"/>
              </w:rPr>
              <w:t>₹[AMOUNT]</w:t>
            </w:r>
          </w:p>
        </w:tc>
      </w:tr>
    </w:tbl>
    <w:p>
      <w:pPr>
        <w:keepNext w:val="0"/>
        <w:spacing w:after="120" w:before="0"/>
      </w:pPr>
      <w:r>
        <w:rPr>
          <w:rFonts w:ascii="Calibri" w:hAnsi="Calibri"/>
          <w:b w:val="0"/>
          <w:i w:val="0"/>
          <w:color w:val="1D1D1D"/>
          <w:sz w:val="21"/>
        </w:rPr>
      </w:r>
    </w:p>
    <w:p>
      <w:pPr>
        <w:keepNext w:val="0"/>
        <w:spacing w:after="80" w:before="0"/>
      </w:pPr>
      <w:r>
        <w:rPr>
          <w:rFonts w:ascii="Calibri" w:hAnsi="Calibri"/>
          <w:b w:val="0"/>
          <w:i w:val="0"/>
          <w:color w:val="1D1D1D"/>
          <w:sz w:val="19"/>
        </w:rPr>
        <w:t>Place: [PLACE]     Date: [DD-MMM-YYYY]     Signature of the Employer / Authorised Officer: ______________</w:t>
      </w:r>
    </w:p>
    <w:p>
      <w:pPr>
        <w:keepNext w:val="0"/>
        <w:spacing w:after="120" w:before="0"/>
      </w:pPr>
      <w:r>
        <w:rPr>
          <w:rFonts w:ascii="Calibri" w:hAnsi="Calibri"/>
          <w:b w:val="0"/>
          <w:i w:val="0"/>
          <w:color w:val="1D1D1D"/>
          <w:sz w:val="19"/>
        </w:rPr>
        <w:t>Copy to: The Competent Authority</w:t>
      </w:r>
    </w:p>
    <w:p>
      <w:pPr>
        <w:keepNext w:val="0"/>
        <w:spacing w:after="160" w:before="0"/>
        <w:ind w:left="216"/>
        <w:shd w:val="clear" w:fill="F4FAFE"/>
      </w:pPr>
      <w:r>
        <w:rPr>
          <w:rFonts w:ascii="Calibri" w:hAnsi="Calibri"/>
          <w:b w:val="0"/>
          <w:i w:val="0"/>
          <w:color w:val="1D1D1D"/>
          <w:sz w:val="20"/>
        </w:rPr>
        <w:t>This reproduces the Central form. Item (c) asks for the actual years and months; the years COUNTED for gratuity come from Format 04, line F, and the amount in (f) is line N.</w:t>
      </w:r>
    </w:p>
    <w:p>
      <w:r>
        <w:br w:type="page"/>
      </w:r>
    </w:p>
    <w:p>
      <w:pPr>
        <w:pStyle w:val="Heading1"/>
        <w:keepNext/>
        <w:spacing w:after="200" w:before="80"/>
        <w:ind w:left="115"/>
        <w:shd w:val="clear" w:fill="0069A4"/>
      </w:pPr>
      <w:r>
        <w:rPr>
          <w:rFonts w:ascii="Calibri" w:hAnsi="Calibri"/>
          <w:b/>
          <w:color w:val="FFFFFF"/>
          <w:sz w:val="20"/>
        </w:rPr>
        <w:t>FORMAT 06  ·  PARITY CHECK AGAINST A PERMANENT EMPLOYEE</w:t>
      </w:r>
    </w:p>
    <w:p>
      <w:pPr>
        <w:keepNext w:val="0"/>
        <w:spacing w:after="160" w:before="0"/>
        <w:ind w:left="144"/>
        <w:shd w:val="clear" w:fill="F4FAFE"/>
      </w:pPr>
      <w:r>
        <w:rPr>
          <w:rFonts w:ascii="Calibri" w:hAnsi="Calibri"/>
          <w:b w:val="0"/>
          <w:i/>
          <w:color w:val="565656"/>
          <w:sz w:val="18"/>
        </w:rPr>
        <w:t>Name the permanent role you compare against. Parity is measured against someone doing the same or similar work, so the comparator is the whole test.</w:t>
      </w:r>
    </w:p>
    <w:p>
      <w:pPr>
        <w:keepNext w:val="0"/>
        <w:spacing w:after="160" w:before="0"/>
      </w:pPr>
      <w:r>
        <w:rPr>
          <w:rFonts w:ascii="Calibri" w:hAnsi="Calibri"/>
          <w:b w:val="0"/>
          <w:i w:val="0"/>
          <w:color w:val="1D1D1D"/>
          <w:sz w:val="19"/>
        </w:rPr>
        <w:t>Fixed term role: [DESIGNATION]      Permanent comparator: [DESIGNATION], [PLACE OF WORK]      Checked on: [DD-MMM-YYYY]</w:t>
      </w:r>
    </w:p>
    <w:tbl>
      <w:tblPr>
        <w:tblStyle w:val="TableGrid"/>
        <w:tblW w:type="auto" w:w="0"/>
        <w:tblLook w:firstColumn="1" w:firstRow="1" w:lastColumn="0" w:lastRow="0" w:noHBand="0" w:noVBand="1" w:val="04A0"/>
      </w:tblPr>
      <w:tblGrid>
        <w:gridCol w:w="2412"/>
        <w:gridCol w:w="2412"/>
        <w:gridCol w:w="2412"/>
        <w:gridCol w:w="2412"/>
      </w:tblGrid>
      <w:tr>
        <w:tc>
          <w:tcPr>
            <w:tcW w:type="dxa" w:w="2592"/>
          </w:tcPr>
          <w:p>
            <w:pPr>
              <w:spacing w:after="40"/>
              <w:shd w:val="clear" w:fill="E8F4FC"/>
            </w:pPr>
            <w:r/>
            <w:r>
              <w:rPr>
                <w:rFonts w:ascii="Calibri" w:hAnsi="Calibri"/>
                <w:b/>
                <w:color w:val="0069A4"/>
                <w:sz w:val="18"/>
              </w:rPr>
              <w:t>Item</w:t>
            </w:r>
          </w:p>
        </w:tc>
        <w:tc>
          <w:tcPr>
            <w:tcW w:type="dxa" w:w="2448"/>
          </w:tcPr>
          <w:p>
            <w:pPr>
              <w:spacing w:after="40"/>
              <w:shd w:val="clear" w:fill="E8F4FC"/>
            </w:pPr>
            <w:r/>
            <w:r>
              <w:rPr>
                <w:rFonts w:ascii="Calibri" w:hAnsi="Calibri"/>
                <w:b/>
                <w:color w:val="0069A4"/>
                <w:sz w:val="18"/>
              </w:rPr>
              <w:t>Fixed term employee</w:t>
            </w:r>
          </w:p>
        </w:tc>
        <w:tc>
          <w:tcPr>
            <w:tcW w:type="dxa" w:w="2448"/>
          </w:tcPr>
          <w:p>
            <w:pPr>
              <w:spacing w:after="40"/>
              <w:shd w:val="clear" w:fill="E8F4FC"/>
            </w:pPr>
            <w:r/>
            <w:r>
              <w:rPr>
                <w:rFonts w:ascii="Calibri" w:hAnsi="Calibri"/>
                <w:b/>
                <w:color w:val="0069A4"/>
                <w:sz w:val="18"/>
              </w:rPr>
              <w:t>Permanent comparator</w:t>
            </w:r>
          </w:p>
        </w:tc>
        <w:tc>
          <w:tcPr>
            <w:tcW w:type="dxa" w:w="1440"/>
          </w:tcPr>
          <w:p>
            <w:pPr>
              <w:spacing w:after="40"/>
              <w:shd w:val="clear" w:fill="E8F4FC"/>
            </w:pPr>
            <w:r/>
            <w:r>
              <w:rPr>
                <w:rFonts w:ascii="Calibri" w:hAnsi="Calibri"/>
                <w:b/>
                <w:color w:val="0069A4"/>
                <w:sz w:val="18"/>
              </w:rPr>
              <w:t>Not less?</w:t>
            </w:r>
          </w:p>
        </w:tc>
      </w:tr>
      <w:tr>
        <w:tc>
          <w:tcPr>
            <w:tcW w:type="dxa" w:w="2592"/>
          </w:tcPr>
          <w:p>
            <w:pPr>
              <w:spacing w:after="40"/>
            </w:pPr>
            <w:r/>
            <w:r>
              <w:rPr>
                <w:rFonts w:ascii="Calibri" w:hAnsi="Calibri"/>
                <w:color w:val="565656"/>
                <w:sz w:val="18"/>
              </w:rPr>
              <w:t>Hours of work</w:t>
            </w:r>
          </w:p>
        </w:tc>
        <w:tc>
          <w:tcPr>
            <w:tcW w:type="dxa" w:w="2448"/>
          </w:tcPr>
          <w:p>
            <w:pPr>
              <w:spacing w:after="40"/>
            </w:pPr>
            <w:r/>
            <w:r>
              <w:rPr>
                <w:rFonts w:ascii="Calibri" w:hAnsi="Calibri"/>
                <w:color w:val="565656"/>
                <w:sz w:val="18"/>
              </w:rPr>
            </w:r>
          </w:p>
        </w:tc>
        <w:tc>
          <w:tcPr>
            <w:tcW w:type="dxa" w:w="2448"/>
          </w:tcPr>
          <w:p>
            <w:pPr>
              <w:spacing w:after="40"/>
            </w:pPr>
            <w:r/>
            <w:r>
              <w:rPr>
                <w:rFonts w:ascii="Calibri" w:hAnsi="Calibri"/>
                <w:color w:val="565656"/>
                <w:sz w:val="18"/>
              </w:rPr>
            </w:r>
          </w:p>
        </w:tc>
        <w:tc>
          <w:tcPr>
            <w:tcW w:type="dxa" w:w="1440"/>
          </w:tcPr>
          <w:p>
            <w:pPr>
              <w:spacing w:after="40"/>
            </w:pPr>
            <w:r/>
            <w:r>
              <w:rPr>
                <w:rFonts w:ascii="Calibri" w:hAnsi="Calibri"/>
                <w:color w:val="565656"/>
                <w:sz w:val="18"/>
              </w:rPr>
              <w:t>Yes / No</w:t>
            </w:r>
          </w:p>
        </w:tc>
      </w:tr>
      <w:tr>
        <w:tc>
          <w:tcPr>
            <w:tcW w:type="dxa" w:w="2592"/>
          </w:tcPr>
          <w:p>
            <w:pPr>
              <w:spacing w:after="40"/>
            </w:pPr>
            <w:r/>
            <w:r>
              <w:rPr>
                <w:rFonts w:ascii="Calibri" w:hAnsi="Calibri"/>
                <w:color w:val="565656"/>
                <w:sz w:val="18"/>
              </w:rPr>
              <w:t>Basic pay</w:t>
            </w:r>
          </w:p>
        </w:tc>
        <w:tc>
          <w:tcPr>
            <w:tcW w:type="dxa" w:w="2448"/>
          </w:tcPr>
          <w:p>
            <w:pPr>
              <w:spacing w:after="40"/>
            </w:pPr>
            <w:r/>
            <w:r>
              <w:rPr>
                <w:rFonts w:ascii="Calibri" w:hAnsi="Calibri"/>
                <w:color w:val="565656"/>
                <w:sz w:val="18"/>
              </w:rPr>
            </w:r>
          </w:p>
        </w:tc>
        <w:tc>
          <w:tcPr>
            <w:tcW w:type="dxa" w:w="2448"/>
          </w:tcPr>
          <w:p>
            <w:pPr>
              <w:spacing w:after="40"/>
            </w:pPr>
            <w:r/>
            <w:r>
              <w:rPr>
                <w:rFonts w:ascii="Calibri" w:hAnsi="Calibri"/>
                <w:color w:val="565656"/>
                <w:sz w:val="18"/>
              </w:rPr>
            </w:r>
          </w:p>
        </w:tc>
        <w:tc>
          <w:tcPr>
            <w:tcW w:type="dxa" w:w="1440"/>
          </w:tcPr>
          <w:p>
            <w:pPr>
              <w:spacing w:after="40"/>
            </w:pPr>
            <w:r/>
            <w:r>
              <w:rPr>
                <w:rFonts w:ascii="Calibri" w:hAnsi="Calibri"/>
                <w:color w:val="565656"/>
                <w:sz w:val="18"/>
              </w:rPr>
              <w:t>Yes / No</w:t>
            </w:r>
          </w:p>
        </w:tc>
      </w:tr>
      <w:tr>
        <w:tc>
          <w:tcPr>
            <w:tcW w:type="dxa" w:w="2592"/>
          </w:tcPr>
          <w:p>
            <w:pPr>
              <w:spacing w:after="40"/>
            </w:pPr>
            <w:r/>
            <w:r>
              <w:rPr>
                <w:rFonts w:ascii="Calibri" w:hAnsi="Calibri"/>
                <w:color w:val="565656"/>
                <w:sz w:val="18"/>
              </w:rPr>
              <w:t>Dearness allowance</w:t>
            </w:r>
          </w:p>
        </w:tc>
        <w:tc>
          <w:tcPr>
            <w:tcW w:type="dxa" w:w="2448"/>
          </w:tcPr>
          <w:p>
            <w:pPr>
              <w:spacing w:after="40"/>
            </w:pPr>
            <w:r/>
            <w:r>
              <w:rPr>
                <w:rFonts w:ascii="Calibri" w:hAnsi="Calibri"/>
                <w:color w:val="565656"/>
                <w:sz w:val="18"/>
              </w:rPr>
            </w:r>
          </w:p>
        </w:tc>
        <w:tc>
          <w:tcPr>
            <w:tcW w:type="dxa" w:w="2448"/>
          </w:tcPr>
          <w:p>
            <w:pPr>
              <w:spacing w:after="40"/>
            </w:pPr>
            <w:r/>
            <w:r>
              <w:rPr>
                <w:rFonts w:ascii="Calibri" w:hAnsi="Calibri"/>
                <w:color w:val="565656"/>
                <w:sz w:val="18"/>
              </w:rPr>
            </w:r>
          </w:p>
        </w:tc>
        <w:tc>
          <w:tcPr>
            <w:tcW w:type="dxa" w:w="1440"/>
          </w:tcPr>
          <w:p>
            <w:pPr>
              <w:spacing w:after="40"/>
            </w:pPr>
            <w:r/>
            <w:r>
              <w:rPr>
                <w:rFonts w:ascii="Calibri" w:hAnsi="Calibri"/>
                <w:color w:val="565656"/>
                <w:sz w:val="18"/>
              </w:rPr>
              <w:t>Yes / No</w:t>
            </w:r>
          </w:p>
        </w:tc>
      </w:tr>
      <w:tr>
        <w:tc>
          <w:tcPr>
            <w:tcW w:type="dxa" w:w="2592"/>
          </w:tcPr>
          <w:p>
            <w:pPr>
              <w:spacing w:after="40"/>
            </w:pPr>
            <w:r/>
            <w:r>
              <w:rPr>
                <w:rFonts w:ascii="Calibri" w:hAnsi="Calibri"/>
                <w:color w:val="565656"/>
                <w:sz w:val="18"/>
              </w:rPr>
              <w:t>Other allowances</w:t>
            </w:r>
          </w:p>
        </w:tc>
        <w:tc>
          <w:tcPr>
            <w:tcW w:type="dxa" w:w="2448"/>
          </w:tcPr>
          <w:p>
            <w:pPr>
              <w:spacing w:after="40"/>
            </w:pPr>
            <w:r/>
            <w:r>
              <w:rPr>
                <w:rFonts w:ascii="Calibri" w:hAnsi="Calibri"/>
                <w:color w:val="565656"/>
                <w:sz w:val="18"/>
              </w:rPr>
            </w:r>
          </w:p>
        </w:tc>
        <w:tc>
          <w:tcPr>
            <w:tcW w:type="dxa" w:w="2448"/>
          </w:tcPr>
          <w:p>
            <w:pPr>
              <w:spacing w:after="40"/>
            </w:pPr>
            <w:r/>
            <w:r>
              <w:rPr>
                <w:rFonts w:ascii="Calibri" w:hAnsi="Calibri"/>
                <w:color w:val="565656"/>
                <w:sz w:val="18"/>
              </w:rPr>
            </w:r>
          </w:p>
        </w:tc>
        <w:tc>
          <w:tcPr>
            <w:tcW w:type="dxa" w:w="1440"/>
          </w:tcPr>
          <w:p>
            <w:pPr>
              <w:spacing w:after="40"/>
            </w:pPr>
            <w:r/>
            <w:r>
              <w:rPr>
                <w:rFonts w:ascii="Calibri" w:hAnsi="Calibri"/>
                <w:color w:val="565656"/>
                <w:sz w:val="18"/>
              </w:rPr>
              <w:t>Yes / No</w:t>
            </w:r>
          </w:p>
        </w:tc>
      </w:tr>
      <w:tr>
        <w:tc>
          <w:tcPr>
            <w:tcW w:type="dxa" w:w="2592"/>
          </w:tcPr>
          <w:p>
            <w:pPr>
              <w:spacing w:after="40"/>
            </w:pPr>
            <w:r/>
            <w:r>
              <w:rPr>
                <w:rFonts w:ascii="Calibri" w:hAnsi="Calibri"/>
                <w:color w:val="565656"/>
                <w:sz w:val="18"/>
              </w:rPr>
              <w:t>Leave</w:t>
            </w:r>
          </w:p>
        </w:tc>
        <w:tc>
          <w:tcPr>
            <w:tcW w:type="dxa" w:w="2448"/>
          </w:tcPr>
          <w:p>
            <w:pPr>
              <w:spacing w:after="40"/>
            </w:pPr>
            <w:r/>
            <w:r>
              <w:rPr>
                <w:rFonts w:ascii="Calibri" w:hAnsi="Calibri"/>
                <w:color w:val="565656"/>
                <w:sz w:val="18"/>
              </w:rPr>
            </w:r>
          </w:p>
        </w:tc>
        <w:tc>
          <w:tcPr>
            <w:tcW w:type="dxa" w:w="2448"/>
          </w:tcPr>
          <w:p>
            <w:pPr>
              <w:spacing w:after="40"/>
            </w:pPr>
            <w:r/>
            <w:r>
              <w:rPr>
                <w:rFonts w:ascii="Calibri" w:hAnsi="Calibri"/>
                <w:color w:val="565656"/>
                <w:sz w:val="18"/>
              </w:rPr>
            </w:r>
          </w:p>
        </w:tc>
        <w:tc>
          <w:tcPr>
            <w:tcW w:type="dxa" w:w="1440"/>
          </w:tcPr>
          <w:p>
            <w:pPr>
              <w:spacing w:after="40"/>
            </w:pPr>
            <w:r/>
            <w:r>
              <w:rPr>
                <w:rFonts w:ascii="Calibri" w:hAnsi="Calibri"/>
                <w:color w:val="565656"/>
                <w:sz w:val="18"/>
              </w:rPr>
              <w:t>Yes / No</w:t>
            </w:r>
          </w:p>
        </w:tc>
      </w:tr>
      <w:tr>
        <w:tc>
          <w:tcPr>
            <w:tcW w:type="dxa" w:w="2592"/>
          </w:tcPr>
          <w:p>
            <w:pPr>
              <w:spacing w:after="40"/>
            </w:pPr>
            <w:r/>
            <w:r>
              <w:rPr>
                <w:rFonts w:ascii="Calibri" w:hAnsi="Calibri"/>
                <w:color w:val="565656"/>
                <w:sz w:val="18"/>
              </w:rPr>
              <w:t>Bonus</w:t>
            </w:r>
          </w:p>
        </w:tc>
        <w:tc>
          <w:tcPr>
            <w:tcW w:type="dxa" w:w="2448"/>
          </w:tcPr>
          <w:p>
            <w:pPr>
              <w:spacing w:after="40"/>
            </w:pPr>
            <w:r/>
            <w:r>
              <w:rPr>
                <w:rFonts w:ascii="Calibri" w:hAnsi="Calibri"/>
                <w:color w:val="565656"/>
                <w:sz w:val="18"/>
              </w:rPr>
            </w:r>
          </w:p>
        </w:tc>
        <w:tc>
          <w:tcPr>
            <w:tcW w:type="dxa" w:w="2448"/>
          </w:tcPr>
          <w:p>
            <w:pPr>
              <w:spacing w:after="40"/>
            </w:pPr>
            <w:r/>
            <w:r>
              <w:rPr>
                <w:rFonts w:ascii="Calibri" w:hAnsi="Calibri"/>
                <w:color w:val="565656"/>
                <w:sz w:val="18"/>
              </w:rPr>
            </w:r>
          </w:p>
        </w:tc>
        <w:tc>
          <w:tcPr>
            <w:tcW w:type="dxa" w:w="1440"/>
          </w:tcPr>
          <w:p>
            <w:pPr>
              <w:spacing w:after="40"/>
            </w:pPr>
            <w:r/>
            <w:r>
              <w:rPr>
                <w:rFonts w:ascii="Calibri" w:hAnsi="Calibri"/>
                <w:color w:val="565656"/>
                <w:sz w:val="18"/>
              </w:rPr>
              <w:t>Yes / No</w:t>
            </w:r>
          </w:p>
        </w:tc>
      </w:tr>
      <w:tr>
        <w:tc>
          <w:tcPr>
            <w:tcW w:type="dxa" w:w="2592"/>
          </w:tcPr>
          <w:p>
            <w:pPr>
              <w:spacing w:after="40"/>
            </w:pPr>
            <w:r/>
            <w:r>
              <w:rPr>
                <w:rFonts w:ascii="Calibri" w:hAnsi="Calibri"/>
                <w:color w:val="565656"/>
                <w:sz w:val="18"/>
              </w:rPr>
              <w:t>Provident fund and ESI</w:t>
            </w:r>
          </w:p>
        </w:tc>
        <w:tc>
          <w:tcPr>
            <w:tcW w:type="dxa" w:w="2448"/>
          </w:tcPr>
          <w:p>
            <w:pPr>
              <w:spacing w:after="40"/>
            </w:pPr>
            <w:r/>
            <w:r>
              <w:rPr>
                <w:rFonts w:ascii="Calibri" w:hAnsi="Calibri"/>
                <w:color w:val="565656"/>
                <w:sz w:val="18"/>
              </w:rPr>
            </w:r>
          </w:p>
        </w:tc>
        <w:tc>
          <w:tcPr>
            <w:tcW w:type="dxa" w:w="2448"/>
          </w:tcPr>
          <w:p>
            <w:pPr>
              <w:spacing w:after="40"/>
            </w:pPr>
            <w:r/>
            <w:r>
              <w:rPr>
                <w:rFonts w:ascii="Calibri" w:hAnsi="Calibri"/>
                <w:color w:val="565656"/>
                <w:sz w:val="18"/>
              </w:rPr>
            </w:r>
          </w:p>
        </w:tc>
        <w:tc>
          <w:tcPr>
            <w:tcW w:type="dxa" w:w="1440"/>
          </w:tcPr>
          <w:p>
            <w:pPr>
              <w:spacing w:after="40"/>
            </w:pPr>
            <w:r/>
            <w:r>
              <w:rPr>
                <w:rFonts w:ascii="Calibri" w:hAnsi="Calibri"/>
                <w:color w:val="565656"/>
                <w:sz w:val="18"/>
              </w:rPr>
              <w:t>Yes / No</w:t>
            </w:r>
          </w:p>
        </w:tc>
      </w:tr>
      <w:tr>
        <w:tc>
          <w:tcPr>
            <w:tcW w:type="dxa" w:w="2592"/>
          </w:tcPr>
          <w:p>
            <w:pPr>
              <w:spacing w:after="40"/>
            </w:pPr>
            <w:r/>
            <w:r>
              <w:rPr>
                <w:rFonts w:ascii="Calibri" w:hAnsi="Calibri"/>
                <w:color w:val="565656"/>
                <w:sz w:val="18"/>
              </w:rPr>
              <w:t>Gratuity basis</w:t>
            </w:r>
          </w:p>
        </w:tc>
        <w:tc>
          <w:tcPr>
            <w:tcW w:type="dxa" w:w="2448"/>
          </w:tcPr>
          <w:p>
            <w:pPr>
              <w:spacing w:after="40"/>
            </w:pPr>
            <w:r/>
            <w:r>
              <w:rPr>
                <w:rFonts w:ascii="Calibri" w:hAnsi="Calibri"/>
                <w:color w:val="565656"/>
                <w:sz w:val="18"/>
              </w:rPr>
            </w:r>
          </w:p>
        </w:tc>
        <w:tc>
          <w:tcPr>
            <w:tcW w:type="dxa" w:w="2448"/>
          </w:tcPr>
          <w:p>
            <w:pPr>
              <w:spacing w:after="40"/>
            </w:pPr>
            <w:r/>
            <w:r>
              <w:rPr>
                <w:rFonts w:ascii="Calibri" w:hAnsi="Calibri"/>
                <w:color w:val="565656"/>
                <w:sz w:val="18"/>
              </w:rPr>
            </w:r>
          </w:p>
        </w:tc>
        <w:tc>
          <w:tcPr>
            <w:tcW w:type="dxa" w:w="1440"/>
          </w:tcPr>
          <w:p>
            <w:pPr>
              <w:spacing w:after="40"/>
            </w:pPr>
            <w:r/>
            <w:r>
              <w:rPr>
                <w:rFonts w:ascii="Calibri" w:hAnsi="Calibri"/>
                <w:color w:val="565656"/>
                <w:sz w:val="18"/>
              </w:rPr>
              <w:t>Yes / No</w:t>
            </w:r>
          </w:p>
        </w:tc>
      </w:tr>
      <w:tr>
        <w:tc>
          <w:tcPr>
            <w:tcW w:type="dxa" w:w="2592"/>
          </w:tcPr>
          <w:p>
            <w:pPr>
              <w:spacing w:after="40"/>
            </w:pPr>
            <w:r/>
            <w:r>
              <w:rPr>
                <w:rFonts w:ascii="Calibri" w:hAnsi="Calibri"/>
                <w:color w:val="565656"/>
                <w:sz w:val="18"/>
              </w:rPr>
              <w:t>Other benefits</w:t>
            </w:r>
          </w:p>
        </w:tc>
        <w:tc>
          <w:tcPr>
            <w:tcW w:type="dxa" w:w="2448"/>
          </w:tcPr>
          <w:p>
            <w:pPr>
              <w:spacing w:after="40"/>
            </w:pPr>
            <w:r/>
            <w:r>
              <w:rPr>
                <w:rFonts w:ascii="Calibri" w:hAnsi="Calibri"/>
                <w:color w:val="565656"/>
                <w:sz w:val="18"/>
              </w:rPr>
            </w:r>
          </w:p>
        </w:tc>
        <w:tc>
          <w:tcPr>
            <w:tcW w:type="dxa" w:w="2448"/>
          </w:tcPr>
          <w:p>
            <w:pPr>
              <w:spacing w:after="40"/>
            </w:pPr>
            <w:r/>
            <w:r>
              <w:rPr>
                <w:rFonts w:ascii="Calibri" w:hAnsi="Calibri"/>
                <w:color w:val="565656"/>
                <w:sz w:val="18"/>
              </w:rPr>
            </w:r>
          </w:p>
        </w:tc>
        <w:tc>
          <w:tcPr>
            <w:tcW w:type="dxa" w:w="1440"/>
          </w:tcPr>
          <w:p>
            <w:pPr>
              <w:spacing w:after="40"/>
            </w:pPr>
            <w:r/>
            <w:r>
              <w:rPr>
                <w:rFonts w:ascii="Calibri" w:hAnsi="Calibri"/>
                <w:color w:val="565656"/>
                <w:sz w:val="18"/>
              </w:rPr>
              <w:t>Yes / No</w:t>
            </w:r>
          </w:p>
        </w:tc>
      </w:tr>
    </w:tbl>
    <w:p>
      <w:pPr>
        <w:keepNext w:val="0"/>
        <w:spacing w:after="120" w:before="0"/>
      </w:pPr>
      <w:r>
        <w:rPr>
          <w:rFonts w:ascii="Calibri" w:hAnsi="Calibri"/>
          <w:b w:val="0"/>
          <w:i w:val="0"/>
          <w:color w:val="1D1D1D"/>
          <w:sz w:val="21"/>
        </w:rPr>
      </w:r>
    </w:p>
    <w:p>
      <w:pPr>
        <w:keepNext w:val="0"/>
        <w:spacing w:after="120" w:before="0"/>
      </w:pPr>
      <w:r>
        <w:rPr>
          <w:rFonts w:ascii="Calibri" w:hAnsi="Calibri"/>
          <w:b w:val="0"/>
          <w:i/>
          <w:color w:val="565656"/>
          <w:sz w:val="18"/>
        </w:rPr>
        <w:t>Any No is a gap against section 2(34)(a), and section 2(o)(a) for a worker. Gratuity basis means the wages its calculation runs on, Format 04 line L.</w:t>
      </w:r>
    </w:p>
    <w:p>
      <w:r>
        <w:br w:type="page"/>
      </w:r>
    </w:p>
    <w:p>
      <w:pPr>
        <w:pStyle w:val="Heading1"/>
        <w:keepNext/>
        <w:spacing w:after="200" w:before="80"/>
        <w:ind w:left="115"/>
        <w:shd w:val="clear" w:fill="008CDB"/>
      </w:pPr>
      <w:r>
        <w:rPr>
          <w:rFonts w:ascii="Calibri" w:hAnsi="Calibri"/>
          <w:b/>
          <w:color w:val="FFFFFF"/>
          <w:sz w:val="22"/>
        </w:rPr>
        <w:t>8.  SEVEN MISTAKES EMPLOYERS MAKE</w:t>
      </w:r>
    </w:p>
    <w:p>
      <w:pPr>
        <w:pStyle w:val="Heading2"/>
        <w:keepNext/>
        <w:spacing w:after="60" w:before="160"/>
      </w:pPr>
      <w:r>
        <w:rPr>
          <w:rFonts w:ascii="Calibri" w:hAnsi="Calibri"/>
          <w:b/>
          <w:color w:val="1D1D1D"/>
          <w:sz w:val="21"/>
        </w:rPr>
        <w:t>1.  Waiting for five years</w:t>
      </w:r>
    </w:p>
    <w:p>
      <w:pPr>
        <w:keepNext w:val="0"/>
        <w:spacing w:after="80" w:before="0"/>
        <w:ind w:left="288"/>
      </w:pPr>
      <w:r>
        <w:rPr>
          <w:rFonts w:ascii="Calibri" w:hAnsi="Calibri"/>
          <w:b w:val="0"/>
          <w:i w:val="0"/>
          <w:color w:val="565656"/>
          <w:sz w:val="20"/>
        </w:rPr>
        <w:t>The second proviso to section 53(1) says five years of continuous service shall not be necessary where employment ends on the expiration of fixed term employment. The gratuity falls due when the contract ends.</w:t>
      </w:r>
    </w:p>
    <w:p>
      <w:pPr>
        <w:pStyle w:val="Heading2"/>
        <w:keepNext/>
        <w:spacing w:after="60" w:before="160"/>
      </w:pPr>
      <w:r>
        <w:rPr>
          <w:rFonts w:ascii="Calibri" w:hAnsi="Calibri"/>
          <w:b/>
          <w:color w:val="1D1D1D"/>
          <w:sz w:val="21"/>
        </w:rPr>
        <w:t>2.  Paying for the days instead of the years</w:t>
      </w:r>
    </w:p>
    <w:p>
      <w:pPr>
        <w:keepNext w:val="0"/>
        <w:spacing w:after="80" w:before="0"/>
        <w:ind w:left="288"/>
      </w:pPr>
      <w:r>
        <w:rPr>
          <w:rFonts w:ascii="Calibri" w:hAnsi="Calibri"/>
          <w:b w:val="0"/>
          <w:i w:val="0"/>
          <w:color w:val="565656"/>
          <w:sz w:val="20"/>
        </w:rPr>
        <w:t>Rule 33 counts in years: at least one year under the contract, then a further period of more than six months is rounded off to one additional year. Six months or less adds nothing. A day-by-day pro rata pays the wrong amount in both directions.</w:t>
      </w:r>
    </w:p>
    <w:p>
      <w:pPr>
        <w:pStyle w:val="Heading2"/>
        <w:keepNext/>
        <w:spacing w:after="60" w:before="160"/>
      </w:pPr>
      <w:r>
        <w:rPr>
          <w:rFonts w:ascii="Calibri" w:hAnsi="Calibri"/>
          <w:b/>
          <w:color w:val="1D1D1D"/>
          <w:sz w:val="21"/>
        </w:rPr>
        <w:t>3.  Rolling eleven-month contracts</w:t>
      </w:r>
    </w:p>
    <w:p>
      <w:pPr>
        <w:keepNext w:val="0"/>
        <w:spacing w:after="80" w:before="0"/>
        <w:ind w:left="288"/>
      </w:pPr>
      <w:r>
        <w:rPr>
          <w:rFonts w:ascii="Calibri" w:hAnsi="Calibri"/>
          <w:b w:val="0"/>
          <w:i w:val="0"/>
          <w:color w:val="565656"/>
          <w:sz w:val="20"/>
        </w:rPr>
        <w:t>Section 54(A) makes service continuous where it is uninterrupted, and back-to-back contracts with the same employer leave no interruption. Whether the year in rule 33 is counted contract by contract is not settled by the words, and a hiring design built on the answer being yes carries that whole risk.</w:t>
      </w:r>
    </w:p>
    <w:p>
      <w:pPr>
        <w:pStyle w:val="Heading2"/>
        <w:keepNext/>
        <w:spacing w:after="60" w:before="160"/>
      </w:pPr>
      <w:r>
        <w:rPr>
          <w:rFonts w:ascii="Calibri" w:hAnsi="Calibri"/>
          <w:b/>
          <w:color w:val="1D1D1D"/>
          <w:sz w:val="21"/>
        </w:rPr>
        <w:t>4.  Computing on basic alone</w:t>
      </w:r>
    </w:p>
    <w:p>
      <w:pPr>
        <w:keepNext w:val="0"/>
        <w:spacing w:after="80" w:before="0"/>
        <w:ind w:left="288"/>
      </w:pPr>
      <w:r>
        <w:rPr>
          <w:rFonts w:ascii="Calibri" w:hAnsi="Calibri"/>
          <w:b w:val="0"/>
          <w:i w:val="0"/>
          <w:color w:val="565656"/>
          <w:sz w:val="20"/>
        </w:rPr>
        <w:t>Gratuity runs on wages as section 2(88) defines them. Pay outside basic, dearness allowance and retaining allowance that exceeds one-half of all remuneration is deemed remuneration and added back. The one-half can move, because the proviso allows another per cent the Centre notifies.</w:t>
      </w:r>
    </w:p>
    <w:p>
      <w:pPr>
        <w:pStyle w:val="Heading2"/>
        <w:keepNext/>
        <w:spacing w:after="60" w:before="160"/>
      </w:pPr>
      <w:r>
        <w:rPr>
          <w:rFonts w:ascii="Calibri" w:hAnsi="Calibri"/>
          <w:b/>
          <w:color w:val="1D1D1D"/>
          <w:sz w:val="21"/>
        </w:rPr>
        <w:t>5.  Waiting for an application</w:t>
      </w:r>
    </w:p>
    <w:p>
      <w:pPr>
        <w:keepNext w:val="0"/>
        <w:spacing w:after="80" w:before="0"/>
        <w:ind w:left="288"/>
      </w:pPr>
      <w:r>
        <w:rPr>
          <w:rFonts w:ascii="Calibri" w:hAnsi="Calibri"/>
          <w:b w:val="0"/>
          <w:i w:val="0"/>
          <w:color w:val="565656"/>
          <w:sz w:val="20"/>
        </w:rPr>
        <w:t>Section 56(2) requires the employer, as soon as gratuity becomes payable, to determine the amount and give written notice to the person entitled and to the competent authority, whether or not an application has been made. Section 56(3) gives thirty days to pay, and section 56(4) adds simple interest from the date it became payable.</w:t>
      </w:r>
    </w:p>
    <w:p>
      <w:pPr>
        <w:pStyle w:val="Heading2"/>
        <w:keepNext/>
        <w:spacing w:after="60" w:before="160"/>
      </w:pPr>
      <w:r>
        <w:rPr>
          <w:rFonts w:ascii="Calibri" w:hAnsi="Calibri"/>
          <w:b/>
          <w:color w:val="1D1D1D"/>
          <w:sz w:val="21"/>
        </w:rPr>
        <w:t>6.  Paying less than a permanent colleague</w:t>
      </w:r>
    </w:p>
    <w:p>
      <w:pPr>
        <w:keepNext w:val="0"/>
        <w:spacing w:after="80" w:before="0"/>
        <w:ind w:left="288"/>
      </w:pPr>
      <w:r>
        <w:rPr>
          <w:rFonts w:ascii="Calibri" w:hAnsi="Calibri"/>
          <w:b w:val="0"/>
          <w:i w:val="0"/>
          <w:color w:val="565656"/>
          <w:sz w:val="20"/>
        </w:rPr>
        <w:t>Both Codes put parity inside the definition: hours, wages, allowances and other benefits not less than a permanent employee doing the same or similar work. A lower rate for the same job is outside what the Codes call fixed term employment.</w:t>
      </w:r>
    </w:p>
    <w:p>
      <w:pPr>
        <w:pStyle w:val="Heading2"/>
        <w:keepNext/>
        <w:spacing w:after="60" w:before="160"/>
      </w:pPr>
      <w:r>
        <w:rPr>
          <w:rFonts w:ascii="Calibri" w:hAnsi="Calibri"/>
          <w:b/>
          <w:color w:val="1D1D1D"/>
          <w:sz w:val="21"/>
        </w:rPr>
        <w:t>7.  Calling the end of the contract a retrenchment, or the reverse</w:t>
      </w:r>
    </w:p>
    <w:p>
      <w:pPr>
        <w:keepNext w:val="0"/>
        <w:spacing w:after="80" w:before="0"/>
        <w:ind w:left="288"/>
      </w:pPr>
      <w:r>
        <w:rPr>
          <w:rFonts w:ascii="Calibri" w:hAnsi="Calibri"/>
          <w:b w:val="0"/>
          <w:i w:val="0"/>
          <w:color w:val="565656"/>
          <w:sz w:val="20"/>
        </w:rPr>
        <w:t>Section 2(zh)(iv) of the IR Code takes completion of the tenure of fixed term employment out of retrenchment, so no retrenchment compensation arises. But that needs a written fixed term contract. Ending an unwritten one is ordinary termination, and for a worker of a year's service section 70 applies.</w:t>
      </w:r>
    </w:p>
    <w:p>
      <w:r>
        <w:br w:type="page"/>
      </w:r>
    </w:p>
    <w:p>
      <w:pPr>
        <w:pStyle w:val="Heading1"/>
        <w:keepNext/>
        <w:spacing w:after="200" w:before="80"/>
        <w:ind w:left="115"/>
        <w:shd w:val="clear" w:fill="008CDB"/>
      </w:pPr>
      <w:r>
        <w:rPr>
          <w:rFonts w:ascii="Calibri" w:hAnsi="Calibri"/>
          <w:b/>
          <w:color w:val="FFFFFF"/>
          <w:sz w:val="22"/>
        </w:rPr>
        <w:t>9.  TWELVE CHECKS, AND WHERE EVERY LINE COMES FROM</w:t>
      </w:r>
    </w:p>
    <w:p>
      <w:pPr>
        <w:keepNext w:val="0"/>
        <w:spacing w:after="120" w:before="0"/>
      </w:pPr>
      <w:r>
        <w:rPr>
          <w:rFonts w:ascii="Calibri" w:hAnsi="Calibri"/>
          <w:b/>
          <w:i w:val="0"/>
          <w:color w:val="1D1D1D"/>
          <w:sz w:val="20"/>
        </w:rPr>
        <w:t>Twelve checks before a fixed term contract starts or ends</w:t>
      </w:r>
    </w:p>
    <w:p>
      <w:pPr>
        <w:keepNext w:val="0"/>
        <w:spacing w:after="60" w:before="0"/>
        <w:ind w:left="216"/>
      </w:pPr>
      <w:r>
        <w:rPr>
          <w:rFonts w:ascii="Calibri" w:hAnsi="Calibri"/>
          <w:b w:val="0"/>
          <w:i w:val="0"/>
          <w:color w:val="565656"/>
          <w:sz w:val="19"/>
        </w:rPr>
        <w:t>☐   The contract is in writing and states a start date and an end date.</w:t>
      </w:r>
    </w:p>
    <w:p>
      <w:pPr>
        <w:keepNext w:val="0"/>
        <w:spacing w:after="60" w:before="0"/>
        <w:ind w:left="216"/>
      </w:pPr>
      <w:r>
        <w:rPr>
          <w:rFonts w:ascii="Calibri" w:hAnsi="Calibri"/>
          <w:b w:val="0"/>
          <w:i w:val="0"/>
          <w:color w:val="565656"/>
          <w:sz w:val="19"/>
        </w:rPr>
        <w:t>☐   A permanent comparator role is named and parity is checked against it.</w:t>
      </w:r>
    </w:p>
    <w:p>
      <w:pPr>
        <w:keepNext w:val="0"/>
        <w:spacing w:after="60" w:before="0"/>
        <w:ind w:left="216"/>
      </w:pPr>
      <w:r>
        <w:rPr>
          <w:rFonts w:ascii="Calibri" w:hAnsi="Calibri"/>
          <w:b w:val="0"/>
          <w:i w:val="0"/>
          <w:color w:val="565656"/>
          <w:sz w:val="19"/>
        </w:rPr>
        <w:t>☐   The contract states the gratuity clause.</w:t>
      </w:r>
    </w:p>
    <w:p>
      <w:pPr>
        <w:keepNext w:val="0"/>
        <w:spacing w:after="60" w:before="0"/>
        <w:ind w:left="216"/>
      </w:pPr>
      <w:r>
        <w:rPr>
          <w:rFonts w:ascii="Calibri" w:hAnsi="Calibri"/>
          <w:b w:val="0"/>
          <w:i w:val="0"/>
          <w:color w:val="565656"/>
          <w:sz w:val="19"/>
        </w:rPr>
        <w:t>☐   Renewals are in writing before the end date and keep the original start date.</w:t>
      </w:r>
    </w:p>
    <w:p>
      <w:pPr>
        <w:keepNext w:val="0"/>
        <w:spacing w:after="60" w:before="0"/>
        <w:ind w:left="216"/>
      </w:pPr>
      <w:r>
        <w:rPr>
          <w:rFonts w:ascii="Calibri" w:hAnsi="Calibri"/>
          <w:b w:val="0"/>
          <w:i w:val="0"/>
          <w:color w:val="565656"/>
          <w:sz w:val="19"/>
        </w:rPr>
        <w:t>☐   Service is counted in completed years plus any further period of more than six months.</w:t>
      </w:r>
    </w:p>
    <w:p>
      <w:pPr>
        <w:keepNext w:val="0"/>
        <w:spacing w:after="60" w:before="0"/>
        <w:ind w:left="216"/>
      </w:pPr>
      <w:r>
        <w:rPr>
          <w:rFonts w:ascii="Calibri" w:hAnsi="Calibri"/>
          <w:b w:val="0"/>
          <w:i w:val="0"/>
          <w:color w:val="565656"/>
          <w:sz w:val="19"/>
        </w:rPr>
        <w:t>☐   At least one year under the contract is confirmed before treating gratuity as due.</w:t>
      </w:r>
    </w:p>
    <w:p>
      <w:pPr>
        <w:keepNext w:val="0"/>
        <w:spacing w:after="60" w:before="0"/>
        <w:ind w:left="216"/>
      </w:pPr>
      <w:r>
        <w:rPr>
          <w:rFonts w:ascii="Calibri" w:hAnsi="Calibri"/>
          <w:b w:val="0"/>
          <w:i w:val="0"/>
          <w:color w:val="565656"/>
          <w:sz w:val="19"/>
        </w:rPr>
        <w:t>☐   The wage is built under section 2(88), with the excess over one-half added back.</w:t>
      </w:r>
    </w:p>
    <w:p>
      <w:pPr>
        <w:keepNext w:val="0"/>
        <w:spacing w:after="60" w:before="0"/>
        <w:ind w:left="216"/>
      </w:pPr>
      <w:r>
        <w:rPr>
          <w:rFonts w:ascii="Calibri" w:hAnsi="Calibri"/>
          <w:b w:val="0"/>
          <w:i w:val="0"/>
          <w:color w:val="565656"/>
          <w:sz w:val="19"/>
        </w:rPr>
        <w:t>☐   The gratuity is fifteen days' wages per year, at wages divided by 26.</w:t>
      </w:r>
    </w:p>
    <w:p>
      <w:pPr>
        <w:keepNext w:val="0"/>
        <w:spacing w:after="60" w:before="0"/>
        <w:ind w:left="216"/>
      </w:pPr>
      <w:r>
        <w:rPr>
          <w:rFonts w:ascii="Calibri" w:hAnsi="Calibri"/>
          <w:b w:val="0"/>
          <w:i w:val="0"/>
          <w:color w:val="565656"/>
          <w:sz w:val="19"/>
        </w:rPr>
        <w:t>☐   Form-V goes out as soon as gratuity is payable, application or not.</w:t>
      </w:r>
    </w:p>
    <w:p>
      <w:pPr>
        <w:keepNext w:val="0"/>
        <w:spacing w:after="60" w:before="0"/>
        <w:ind w:left="216"/>
      </w:pPr>
      <w:r>
        <w:rPr>
          <w:rFonts w:ascii="Calibri" w:hAnsi="Calibri"/>
          <w:b w:val="0"/>
          <w:i w:val="0"/>
          <w:color w:val="565656"/>
          <w:sz w:val="19"/>
        </w:rPr>
        <w:t>☐   Payment is made within thirty days, or interest is added.</w:t>
      </w:r>
    </w:p>
    <w:p>
      <w:pPr>
        <w:keepNext w:val="0"/>
        <w:spacing w:after="60" w:before="0"/>
        <w:ind w:left="216"/>
      </w:pPr>
      <w:r>
        <w:rPr>
          <w:rFonts w:ascii="Calibri" w:hAnsi="Calibri"/>
          <w:b w:val="0"/>
          <w:i w:val="0"/>
          <w:color w:val="565656"/>
          <w:sz w:val="19"/>
        </w:rPr>
        <w:t>☐   The completion letter does not call the exit a retrenchment.</w:t>
      </w:r>
    </w:p>
    <w:p>
      <w:pPr>
        <w:keepNext w:val="0"/>
        <w:spacing w:after="60" w:before="0"/>
        <w:ind w:left="216"/>
      </w:pPr>
      <w:r>
        <w:rPr>
          <w:rFonts w:ascii="Calibri" w:hAnsi="Calibri"/>
          <w:b w:val="0"/>
          <w:i w:val="0"/>
          <w:color w:val="565656"/>
          <w:sz w:val="19"/>
        </w:rPr>
        <w:t>☐   Wages are paid within two working days of the last working day.</w:t>
      </w:r>
    </w:p>
    <w:p>
      <w:pPr>
        <w:keepNext w:val="0"/>
        <w:spacing w:after="200" w:before="0"/>
      </w:pPr>
      <w:r>
        <w:rPr>
          <w:rFonts w:ascii="Calibri" w:hAnsi="Calibri"/>
          <w:b w:val="0"/>
          <w:i w:val="0"/>
          <w:color w:val="1D1D1D"/>
          <w:sz w:val="21"/>
        </w:rPr>
      </w:r>
    </w:p>
    <w:tbl>
      <w:tblPr>
        <w:tblStyle w:val="TableGrid"/>
        <w:tblW w:type="auto" w:w="0"/>
        <w:tblLook w:firstColumn="1" w:firstRow="1" w:lastColumn="0" w:lastRow="0" w:noHBand="0" w:noVBand="1" w:val="04A0"/>
      </w:tblPr>
      <w:tblGrid>
        <w:gridCol w:w="3216"/>
        <w:gridCol w:w="3216"/>
        <w:gridCol w:w="3216"/>
      </w:tblGrid>
      <w:tr>
        <w:tc>
          <w:tcPr>
            <w:tcW w:type="dxa" w:w="4464"/>
          </w:tcPr>
          <w:p>
            <w:pPr>
              <w:spacing w:after="40"/>
              <w:shd w:val="clear" w:fill="E8F4FC"/>
            </w:pPr>
            <w:r/>
            <w:r>
              <w:rPr>
                <w:rFonts w:ascii="Calibri" w:hAnsi="Calibri"/>
                <w:b/>
                <w:color w:val="0069A4"/>
                <w:sz w:val="18"/>
              </w:rPr>
              <w:t>What this pack says</w:t>
            </w:r>
          </w:p>
        </w:tc>
        <w:tc>
          <w:tcPr>
            <w:tcW w:type="dxa" w:w="2880"/>
          </w:tcPr>
          <w:p>
            <w:pPr>
              <w:spacing w:after="40"/>
              <w:shd w:val="clear" w:fill="E8F4FC"/>
            </w:pPr>
            <w:r/>
            <w:r>
              <w:rPr>
                <w:rFonts w:ascii="Calibri" w:hAnsi="Calibri"/>
                <w:b/>
                <w:color w:val="0069A4"/>
                <w:sz w:val="18"/>
              </w:rPr>
              <w:t>Source</w:t>
            </w:r>
          </w:p>
        </w:tc>
        <w:tc>
          <w:tcPr>
            <w:tcW w:type="dxa" w:w="2160"/>
          </w:tcPr>
          <w:p>
            <w:pPr>
              <w:spacing w:after="40"/>
              <w:shd w:val="clear" w:fill="E8F4FC"/>
            </w:pPr>
            <w:r/>
            <w:r>
              <w:rPr>
                <w:rFonts w:ascii="Calibri" w:hAnsi="Calibri"/>
                <w:b/>
                <w:color w:val="0069A4"/>
                <w:sz w:val="18"/>
              </w:rPr>
              <w:t>Provision</w:t>
            </w:r>
          </w:p>
        </w:tc>
      </w:tr>
      <w:tr>
        <w:tc>
          <w:tcPr>
            <w:tcW w:type="dxa" w:w="4464"/>
          </w:tcPr>
          <w:p>
            <w:pPr>
              <w:spacing w:after="40"/>
            </w:pPr>
            <w:r/>
            <w:r>
              <w:rPr>
                <w:rFonts w:ascii="Calibri" w:hAnsi="Calibri"/>
                <w:color w:val="565656"/>
                <w:sz w:val="18"/>
              </w:rPr>
              <w:t>Fixed term employment is a written contract for a fixed period, for an employee</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s.2(34)</w:t>
            </w:r>
          </w:p>
        </w:tc>
      </w:tr>
      <w:tr>
        <w:tc>
          <w:tcPr>
            <w:tcW w:type="dxa" w:w="4464"/>
          </w:tcPr>
          <w:p>
            <w:pPr>
              <w:spacing w:after="40"/>
            </w:pPr>
            <w:r/>
            <w:r>
              <w:rPr>
                <w:rFonts w:ascii="Calibri" w:hAnsi="Calibri"/>
                <w:color w:val="565656"/>
                <w:sz w:val="18"/>
              </w:rPr>
              <w:t>And for a worker, with the one-year gratuity limb</w:t>
            </w:r>
          </w:p>
        </w:tc>
        <w:tc>
          <w:tcPr>
            <w:tcW w:type="dxa" w:w="2880"/>
          </w:tcPr>
          <w:p>
            <w:pPr>
              <w:spacing w:after="40"/>
            </w:pPr>
            <w:r/>
            <w:r>
              <w:rPr>
                <w:rFonts w:ascii="Calibri" w:hAnsi="Calibri"/>
                <w:color w:val="565656"/>
                <w:sz w:val="18"/>
              </w:rPr>
              <w:t>IR Code, 2020</w:t>
            </w:r>
          </w:p>
        </w:tc>
        <w:tc>
          <w:tcPr>
            <w:tcW w:type="dxa" w:w="2160"/>
          </w:tcPr>
          <w:p>
            <w:pPr>
              <w:spacing w:after="40"/>
            </w:pPr>
            <w:r/>
            <w:r>
              <w:rPr>
                <w:rFonts w:ascii="Calibri" w:hAnsi="Calibri"/>
                <w:color w:val="565656"/>
                <w:sz w:val="18"/>
              </w:rPr>
              <w:t>s.2(o), provisos (a) to (c)</w:t>
            </w:r>
          </w:p>
        </w:tc>
      </w:tr>
      <w:tr>
        <w:tc>
          <w:tcPr>
            <w:tcW w:type="dxa" w:w="4464"/>
          </w:tcPr>
          <w:p>
            <w:pPr>
              <w:spacing w:after="40"/>
            </w:pPr>
            <w:r/>
            <w:r>
              <w:rPr>
                <w:rFonts w:ascii="Calibri" w:hAnsi="Calibri"/>
                <w:color w:val="565656"/>
                <w:sz w:val="18"/>
              </w:rPr>
              <w:t>Parity on hours, wages, allowances and other benefits</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s.2(34)(a)</w:t>
            </w:r>
          </w:p>
        </w:tc>
      </w:tr>
      <w:tr>
        <w:tc>
          <w:tcPr>
            <w:tcW w:type="dxa" w:w="4464"/>
          </w:tcPr>
          <w:p>
            <w:pPr>
              <w:spacing w:after="40"/>
            </w:pPr>
            <w:r/>
            <w:r>
              <w:rPr>
                <w:rFonts w:ascii="Calibri" w:hAnsi="Calibri"/>
                <w:color w:val="565656"/>
                <w:sz w:val="18"/>
              </w:rPr>
              <w:t>All benefits proportionately, even short of the qualifying period</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s.2(34)(b)</w:t>
            </w:r>
          </w:p>
        </w:tc>
      </w:tr>
      <w:tr>
        <w:tc>
          <w:tcPr>
            <w:tcW w:type="dxa" w:w="4464"/>
          </w:tcPr>
          <w:p>
            <w:pPr>
              <w:spacing w:after="40"/>
            </w:pPr>
            <w:r/>
            <w:r>
              <w:rPr>
                <w:rFonts w:ascii="Calibri" w:hAnsi="Calibri"/>
                <w:color w:val="565656"/>
                <w:sz w:val="18"/>
              </w:rPr>
              <w:t>A worker excludes the mainly managerial, and supervisors above ₹18,000 a month</w:t>
            </w:r>
          </w:p>
        </w:tc>
        <w:tc>
          <w:tcPr>
            <w:tcW w:type="dxa" w:w="2880"/>
          </w:tcPr>
          <w:p>
            <w:pPr>
              <w:spacing w:after="40"/>
            </w:pPr>
            <w:r/>
            <w:r>
              <w:rPr>
                <w:rFonts w:ascii="Calibri" w:hAnsi="Calibri"/>
                <w:color w:val="565656"/>
                <w:sz w:val="18"/>
              </w:rPr>
              <w:t>IR Code, 2020</w:t>
            </w:r>
          </w:p>
        </w:tc>
        <w:tc>
          <w:tcPr>
            <w:tcW w:type="dxa" w:w="2160"/>
          </w:tcPr>
          <w:p>
            <w:pPr>
              <w:spacing w:after="40"/>
            </w:pPr>
            <w:r/>
            <w:r>
              <w:rPr>
                <w:rFonts w:ascii="Calibri" w:hAnsi="Calibri"/>
                <w:color w:val="565656"/>
                <w:sz w:val="18"/>
              </w:rPr>
              <w:t>s.2(zr)</w:t>
            </w:r>
          </w:p>
        </w:tc>
      </w:tr>
      <w:tr>
        <w:tc>
          <w:tcPr>
            <w:tcW w:type="dxa" w:w="4464"/>
          </w:tcPr>
          <w:p>
            <w:pPr>
              <w:spacing w:after="40"/>
            </w:pPr>
            <w:r/>
            <w:r>
              <w:rPr>
                <w:rFonts w:ascii="Calibri" w:hAnsi="Calibri"/>
                <w:color w:val="565656"/>
                <w:sz w:val="18"/>
              </w:rPr>
              <w:t>The Centre is the appropriate Government for an establishment with branches in more than one State</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s.2(3)(a)</w:t>
            </w:r>
          </w:p>
        </w:tc>
      </w:tr>
      <w:tr>
        <w:tc>
          <w:tcPr>
            <w:tcW w:type="dxa" w:w="4464"/>
          </w:tcPr>
          <w:p>
            <w:pPr>
              <w:spacing w:after="40"/>
            </w:pPr>
            <w:r/>
            <w:r>
              <w:rPr>
                <w:rFonts w:ascii="Calibri" w:hAnsi="Calibri"/>
                <w:color w:val="565656"/>
                <w:sz w:val="18"/>
              </w:rPr>
              <w:t>Gratuity is payable on termination of a contract period under fixed term employment</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s.53(1)(d)</w:t>
            </w:r>
          </w:p>
        </w:tc>
      </w:tr>
      <w:tr>
        <w:tc>
          <w:tcPr>
            <w:tcW w:type="dxa" w:w="4464"/>
          </w:tcPr>
          <w:p>
            <w:pPr>
              <w:spacing w:after="40"/>
            </w:pPr>
            <w:r/>
            <w:r>
              <w:rPr>
                <w:rFonts w:ascii="Calibri" w:hAnsi="Calibri"/>
                <w:color w:val="565656"/>
                <w:sz w:val="18"/>
              </w:rPr>
              <w:t>Five years not necessary on expiration of fixed term employment</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s.53(1), second proviso</w:t>
            </w:r>
          </w:p>
        </w:tc>
      </w:tr>
      <w:tr>
        <w:tc>
          <w:tcPr>
            <w:tcW w:type="dxa" w:w="4464"/>
          </w:tcPr>
          <w:p>
            <w:pPr>
              <w:spacing w:after="40"/>
            </w:pPr>
            <w:r/>
            <w:r>
              <w:rPr>
                <w:rFonts w:ascii="Calibri" w:hAnsi="Calibri"/>
                <w:color w:val="565656"/>
                <w:sz w:val="18"/>
              </w:rPr>
              <w:t>Fifteen days' wages per completed year, or part over six months</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s.53(2)</w:t>
            </w:r>
          </w:p>
        </w:tc>
      </w:tr>
      <w:tr>
        <w:tc>
          <w:tcPr>
            <w:tcW w:type="dxa" w:w="4464"/>
          </w:tcPr>
          <w:p>
            <w:pPr>
              <w:spacing w:after="40"/>
            </w:pPr>
            <w:r/>
            <w:r>
              <w:rPr>
                <w:rFonts w:ascii="Calibri" w:hAnsi="Calibri"/>
                <w:color w:val="565656"/>
                <w:sz w:val="18"/>
              </w:rPr>
              <w:t>Fixed term employment is paid pro rata</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s.53(2), third proviso</w:t>
            </w:r>
          </w:p>
        </w:tc>
      </w:tr>
      <w:tr>
        <w:tc>
          <w:tcPr>
            <w:tcW w:type="dxa" w:w="4464"/>
          </w:tcPr>
          <w:p>
            <w:pPr>
              <w:spacing w:after="40"/>
            </w:pPr>
            <w:r/>
            <w:r>
              <w:rPr>
                <w:rFonts w:ascii="Calibri" w:hAnsi="Calibri"/>
                <w:color w:val="565656"/>
                <w:sz w:val="18"/>
              </w:rPr>
              <w:t>A monthly-rated employee's fifteen days: wages divided by 26, times 15</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s.53, Explanation 3</w:t>
            </w:r>
          </w:p>
        </w:tc>
      </w:tr>
      <w:tr>
        <w:tc>
          <w:tcPr>
            <w:tcW w:type="dxa" w:w="4464"/>
          </w:tcPr>
          <w:p>
            <w:pPr>
              <w:spacing w:after="40"/>
            </w:pPr>
            <w:r/>
            <w:r>
              <w:rPr>
                <w:rFonts w:ascii="Calibri" w:hAnsi="Calibri"/>
                <w:color w:val="565656"/>
                <w:sz w:val="18"/>
              </w:rPr>
              <w:t>Gratuity is capped at the amount the Centre notifies</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s.53(3)</w:t>
            </w:r>
          </w:p>
        </w:tc>
      </w:tr>
      <w:tr>
        <w:tc>
          <w:tcPr>
            <w:tcW w:type="dxa" w:w="4464"/>
          </w:tcPr>
          <w:p>
            <w:pPr>
              <w:spacing w:after="40"/>
            </w:pPr>
            <w:r/>
            <w:r>
              <w:rPr>
                <w:rFonts w:ascii="Calibri" w:hAnsi="Calibri"/>
                <w:color w:val="565656"/>
                <w:sz w:val="18"/>
              </w:rPr>
              <w:t>At least one year, and over six months rounds up to a year</w:t>
            </w:r>
          </w:p>
        </w:tc>
        <w:tc>
          <w:tcPr>
            <w:tcW w:type="dxa" w:w="2880"/>
          </w:tcPr>
          <w:p>
            <w:pPr>
              <w:spacing w:after="40"/>
            </w:pPr>
            <w:r/>
            <w:r>
              <w:rPr>
                <w:rFonts w:ascii="Calibri" w:hAnsi="Calibri"/>
                <w:color w:val="565656"/>
                <w:sz w:val="18"/>
              </w:rPr>
              <w:t>Social Security (Central) Rules, 2026</w:t>
            </w:r>
          </w:p>
        </w:tc>
        <w:tc>
          <w:tcPr>
            <w:tcW w:type="dxa" w:w="2160"/>
          </w:tcPr>
          <w:p>
            <w:pPr>
              <w:spacing w:after="40"/>
            </w:pPr>
            <w:r/>
            <w:r>
              <w:rPr>
                <w:rFonts w:ascii="Calibri" w:hAnsi="Calibri"/>
                <w:color w:val="565656"/>
                <w:sz w:val="18"/>
              </w:rPr>
              <w:t>rule 33(1)(a), second proviso</w:t>
            </w:r>
          </w:p>
        </w:tc>
      </w:tr>
      <w:tr>
        <w:tc>
          <w:tcPr>
            <w:tcW w:type="dxa" w:w="4464"/>
          </w:tcPr>
          <w:p>
            <w:pPr>
              <w:spacing w:after="40"/>
            </w:pPr>
            <w:r/>
            <w:r>
              <w:rPr>
                <w:rFonts w:ascii="Calibri" w:hAnsi="Calibri"/>
                <w:color w:val="565656"/>
                <w:sz w:val="18"/>
              </w:rPr>
              <w:t>Notice of the amount within fifteen days of an application, in Form-V</w:t>
            </w:r>
          </w:p>
        </w:tc>
        <w:tc>
          <w:tcPr>
            <w:tcW w:type="dxa" w:w="2880"/>
          </w:tcPr>
          <w:p>
            <w:pPr>
              <w:spacing w:after="40"/>
            </w:pPr>
            <w:r/>
            <w:r>
              <w:rPr>
                <w:rFonts w:ascii="Calibri" w:hAnsi="Calibri"/>
                <w:color w:val="565656"/>
                <w:sz w:val="18"/>
              </w:rPr>
              <w:t>Social Security (Central) Rules, 2026</w:t>
            </w:r>
          </w:p>
        </w:tc>
        <w:tc>
          <w:tcPr>
            <w:tcW w:type="dxa" w:w="2160"/>
          </w:tcPr>
          <w:p>
            <w:pPr>
              <w:spacing w:after="40"/>
            </w:pPr>
            <w:r/>
            <w:r>
              <w:rPr>
                <w:rFonts w:ascii="Calibri" w:hAnsi="Calibri"/>
                <w:color w:val="565656"/>
                <w:sz w:val="18"/>
              </w:rPr>
              <w:t>rule 33(2)(a) with Form-V</w:t>
            </w:r>
          </w:p>
        </w:tc>
      </w:tr>
      <w:tr>
        <w:tc>
          <w:tcPr>
            <w:tcW w:type="dxa" w:w="4464"/>
          </w:tcPr>
          <w:p>
            <w:pPr>
              <w:spacing w:after="40"/>
            </w:pPr>
            <w:r/>
            <w:r>
              <w:rPr>
                <w:rFonts w:ascii="Calibri" w:hAnsi="Calibri"/>
                <w:color w:val="565656"/>
                <w:sz w:val="18"/>
              </w:rPr>
              <w:t>Continuous service is uninterrupted service, before or after the Code</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s.54(A)</w:t>
            </w:r>
          </w:p>
        </w:tc>
      </w:tr>
      <w:tr>
        <w:tc>
          <w:tcPr>
            <w:tcW w:type="dxa" w:w="4464"/>
          </w:tcPr>
          <w:p>
            <w:pPr>
              <w:spacing w:after="40"/>
            </w:pPr>
            <w:r/>
            <w:r>
              <w:rPr>
                <w:rFonts w:ascii="Calibri" w:hAnsi="Calibri"/>
                <w:color w:val="565656"/>
                <w:sz w:val="18"/>
              </w:rPr>
              <w:t>Wages, with excluded pay above one-half added back</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s.2(88), first proviso</w:t>
            </w:r>
          </w:p>
        </w:tc>
      </w:tr>
      <w:tr>
        <w:tc>
          <w:tcPr>
            <w:tcW w:type="dxa" w:w="4464"/>
          </w:tcPr>
          <w:p>
            <w:pPr>
              <w:spacing w:after="40"/>
            </w:pPr>
            <w:r/>
            <w:r>
              <w:rPr>
                <w:rFonts w:ascii="Calibri" w:hAnsi="Calibri"/>
                <w:color w:val="565656"/>
                <w:sz w:val="18"/>
              </w:rPr>
              <w:t>Determine the amount and give notice, application or not</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s.56(2)</w:t>
            </w:r>
          </w:p>
        </w:tc>
      </w:tr>
      <w:tr>
        <w:tc>
          <w:tcPr>
            <w:tcW w:type="dxa" w:w="4464"/>
          </w:tcPr>
          <w:p>
            <w:pPr>
              <w:spacing w:after="40"/>
            </w:pPr>
            <w:r/>
            <w:r>
              <w:rPr>
                <w:rFonts w:ascii="Calibri" w:hAnsi="Calibri"/>
                <w:color w:val="565656"/>
                <w:sz w:val="18"/>
              </w:rPr>
              <w:t>Pay within thirty days, or simple interest runs</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s.56(3) and (4)</w:t>
            </w:r>
          </w:p>
        </w:tc>
      </w:tr>
      <w:tr>
        <w:tc>
          <w:tcPr>
            <w:tcW w:type="dxa" w:w="4464"/>
          </w:tcPr>
          <w:p>
            <w:pPr>
              <w:spacing w:after="40"/>
            </w:pPr>
            <w:r/>
            <w:r>
              <w:rPr>
                <w:rFonts w:ascii="Calibri" w:hAnsi="Calibri"/>
                <w:color w:val="565656"/>
                <w:sz w:val="18"/>
              </w:rPr>
              <w:t>Failing to pay gratuity: up to one year, a fine up to fifty thousand rupees, or both</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s.133(g) with (ii)</w:t>
            </w:r>
          </w:p>
        </w:tc>
      </w:tr>
      <w:tr>
        <w:tc>
          <w:tcPr>
            <w:tcW w:type="dxa" w:w="4464"/>
          </w:tcPr>
          <w:p>
            <w:pPr>
              <w:spacing w:after="40"/>
            </w:pPr>
            <w:r/>
            <w:r>
              <w:rPr>
                <w:rFonts w:ascii="Calibri" w:hAnsi="Calibri"/>
                <w:color w:val="565656"/>
                <w:sz w:val="18"/>
              </w:rPr>
              <w:t>A repeat: two to three years and a fine of three lakh rupees</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s.134, proviso</w:t>
            </w:r>
          </w:p>
        </w:tc>
      </w:tr>
      <w:tr>
        <w:tc>
          <w:tcPr>
            <w:tcW w:type="dxa" w:w="4464"/>
          </w:tcPr>
          <w:p>
            <w:pPr>
              <w:spacing w:after="40"/>
            </w:pPr>
            <w:r/>
            <w:r>
              <w:rPr>
                <w:rFonts w:ascii="Calibri" w:hAnsi="Calibri"/>
                <w:color w:val="565656"/>
                <w:sz w:val="18"/>
              </w:rPr>
              <w:t>Completion of the tenure of fixed term employment is not retrenchment</w:t>
            </w:r>
          </w:p>
        </w:tc>
        <w:tc>
          <w:tcPr>
            <w:tcW w:type="dxa" w:w="2880"/>
          </w:tcPr>
          <w:p>
            <w:pPr>
              <w:spacing w:after="40"/>
            </w:pPr>
            <w:r/>
            <w:r>
              <w:rPr>
                <w:rFonts w:ascii="Calibri" w:hAnsi="Calibri"/>
                <w:color w:val="565656"/>
                <w:sz w:val="18"/>
              </w:rPr>
              <w:t>IR Code, 2020</w:t>
            </w:r>
          </w:p>
        </w:tc>
        <w:tc>
          <w:tcPr>
            <w:tcW w:type="dxa" w:w="2160"/>
          </w:tcPr>
          <w:p>
            <w:pPr>
              <w:spacing w:after="40"/>
            </w:pPr>
            <w:r/>
            <w:r>
              <w:rPr>
                <w:rFonts w:ascii="Calibri" w:hAnsi="Calibri"/>
                <w:color w:val="565656"/>
                <w:sz w:val="18"/>
              </w:rPr>
              <w:t>s.2(zh)(iv)</w:t>
            </w:r>
          </w:p>
        </w:tc>
      </w:tr>
      <w:tr>
        <w:tc>
          <w:tcPr>
            <w:tcW w:type="dxa" w:w="4464"/>
          </w:tcPr>
          <w:p>
            <w:pPr>
              <w:spacing w:after="40"/>
            </w:pPr>
            <w:r/>
            <w:r>
              <w:rPr>
                <w:rFonts w:ascii="Calibri" w:hAnsi="Calibri"/>
                <w:color w:val="565656"/>
                <w:sz w:val="18"/>
              </w:rPr>
              <w:t>Nor is a contract ended under a stipulation in it</w:t>
            </w:r>
          </w:p>
        </w:tc>
        <w:tc>
          <w:tcPr>
            <w:tcW w:type="dxa" w:w="2880"/>
          </w:tcPr>
          <w:p>
            <w:pPr>
              <w:spacing w:after="40"/>
            </w:pPr>
            <w:r/>
            <w:r>
              <w:rPr>
                <w:rFonts w:ascii="Calibri" w:hAnsi="Calibri"/>
                <w:color w:val="565656"/>
                <w:sz w:val="18"/>
              </w:rPr>
              <w:t>IR Code, 2020</w:t>
            </w:r>
          </w:p>
        </w:tc>
        <w:tc>
          <w:tcPr>
            <w:tcW w:type="dxa" w:w="2160"/>
          </w:tcPr>
          <w:p>
            <w:pPr>
              <w:spacing w:after="40"/>
            </w:pPr>
            <w:r/>
            <w:r>
              <w:rPr>
                <w:rFonts w:ascii="Calibri" w:hAnsi="Calibri"/>
                <w:color w:val="565656"/>
                <w:sz w:val="18"/>
              </w:rPr>
              <w:t>s.2(zh)(iii)</w:t>
            </w:r>
          </w:p>
        </w:tc>
      </w:tr>
      <w:tr>
        <w:tc>
          <w:tcPr>
            <w:tcW w:type="dxa" w:w="4464"/>
          </w:tcPr>
          <w:p>
            <w:pPr>
              <w:spacing w:after="40"/>
            </w:pPr>
            <w:r/>
            <w:r>
              <w:rPr>
                <w:rFonts w:ascii="Calibri" w:hAnsi="Calibri"/>
                <w:color w:val="565656"/>
                <w:sz w:val="18"/>
              </w:rPr>
              <w:t>Notifications under the repealed Gratuity Act carry over until replaced</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s.164(2)(a)</w:t>
            </w:r>
          </w:p>
        </w:tc>
      </w:tr>
      <w:tr>
        <w:tc>
          <w:tcPr>
            <w:tcW w:type="dxa" w:w="4464"/>
          </w:tcPr>
          <w:p>
            <w:pPr>
              <w:spacing w:after="40"/>
            </w:pPr>
            <w:r/>
            <w:r>
              <w:rPr>
                <w:rFonts w:ascii="Calibri" w:hAnsi="Calibri"/>
                <w:color w:val="565656"/>
                <w:sz w:val="18"/>
              </w:rPr>
              <w:t>The ceiling: gratuity shall not exceed ₹20,00,000</w:t>
            </w:r>
          </w:p>
        </w:tc>
        <w:tc>
          <w:tcPr>
            <w:tcW w:type="dxa" w:w="2880"/>
          </w:tcPr>
          <w:p>
            <w:pPr>
              <w:spacing w:after="40"/>
            </w:pPr>
            <w:r/>
            <w:r>
              <w:rPr>
                <w:rFonts w:ascii="Calibri" w:hAnsi="Calibri"/>
                <w:color w:val="565656"/>
                <w:sz w:val="18"/>
              </w:rPr>
              <w:t>S.O. 1420(E), 29-Mar-2018</w:t>
            </w:r>
          </w:p>
        </w:tc>
        <w:tc>
          <w:tcPr>
            <w:tcW w:type="dxa" w:w="2160"/>
          </w:tcPr>
          <w:p>
            <w:pPr>
              <w:spacing w:after="40"/>
            </w:pPr>
            <w:r/>
            <w:r>
              <w:rPr>
                <w:rFonts w:ascii="Calibri" w:hAnsi="Calibri"/>
                <w:color w:val="565656"/>
                <w:sz w:val="18"/>
              </w:rPr>
              <w:t>under s.4(3), Payment of Gratuity Act</w:t>
            </w:r>
          </w:p>
        </w:tc>
      </w:tr>
    </w:tbl>
    <w:p>
      <w:pPr>
        <w:keepNext w:val="0"/>
        <w:spacing w:after="200" w:before="0"/>
      </w:pPr>
      <w:r>
        <w:rPr>
          <w:rFonts w:ascii="Calibri" w:hAnsi="Calibri"/>
          <w:b w:val="0"/>
          <w:i w:val="0"/>
          <w:color w:val="1D1D1D"/>
          <w:sz w:val="21"/>
        </w:rPr>
      </w:r>
    </w:p>
    <w:p>
      <w:pPr>
        <w:keepNext w:val="0"/>
        <w:spacing w:after="160" w:before="0"/>
      </w:pPr>
      <w:r>
        <w:rPr>
          <w:rFonts w:ascii="Calibri" w:hAnsi="Calibri"/>
          <w:b w:val="0"/>
          <w:i w:val="0"/>
          <w:color w:val="565656"/>
          <w:sz w:val="18"/>
        </w:rPr>
        <w:t>What this pack does not claim: how a court has read an early exit after a year, or a chain of short renewals; what your State's rules prescribe for a single-State establishment; and anything about a worker supplied through a contractor, who is not on fixed term employment with you.</w:t>
      </w:r>
    </w:p>
    <w:p>
      <w:pPr>
        <w:keepNext w:val="0"/>
        <w:spacing w:after="120" w:before="0"/>
      </w:pPr>
      <w:r>
        <w:rPr>
          <w:rFonts w:ascii="Calibri" w:hAnsi="Calibri"/>
          <w:b w:val="0"/>
          <w:i/>
          <w:color w:val="565656"/>
          <w:sz w:val="17"/>
        </w:rPr>
        <w:t>Provided by Attendo (formerly Petpooja Payroll) for general guidance, and it is not legal advice. The Code on Social Security, 2020, the Social Security (Central) Rules, 2026 and the Industrial Relations Code, 2020 were read from official copies on 01-Oct-2026. The labour codes came into force on 21-Nov-2025. A decision of a court or authority can change what applies to you. Confirm anything contentious with your adviser.</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Fixed Term Employment and Gratuity Templates  ·  reviewed 01-Oct-2026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 Term Employment and Gratuity Templates</dc:title>
  <dc:subject/>
  <dc:creator>Attendo</dc:creator>
  <cp:keywords/>
  <dc:description>Built on section 53 of the Code on Social Security, 2020. Reviewed 01-Oct-2026.</dc:description>
  <cp:lastModifiedBy/>
  <cp:revision>1</cp:revision>
  <dcterms:created xsi:type="dcterms:W3CDTF">2013-12-23T23:15:00Z</dcterms:created>
  <dcterms:modified xsi:type="dcterms:W3CDTF">2013-12-23T23:15:00Z</dcterms:modified>
  <cp:category/>
</cp:coreProperties>
</file>