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52"/>
        </w:rPr>
        <w:t>Festival Advance Application Form</w:t>
      </w:r>
    </w:p>
    <w:p>
      <w:pPr>
        <w:keepNext w:val="0"/>
        <w:spacing w:after="320" w:before="0"/>
      </w:pPr>
      <w:r>
        <w:rPr>
          <w:rFonts w:ascii="Calibri" w:hAnsi="Calibri"/>
          <w:b w:val="0"/>
          <w:i w:val="0"/>
          <w:color w:val="565656"/>
          <w:sz w:val="26"/>
        </w:rPr>
        <w:t>Application, approval and recovery, for Diwali 2026</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 factories, hospitals, stores, offices and kitchens</w:t>
      </w:r>
    </w:p>
    <w:p>
      <w:pPr>
        <w:keepNext w:val="0"/>
        <w:spacing w:after="60" w:before="0"/>
        <w:ind w:left="360"/>
      </w:pPr>
      <w:r>
        <w:rPr>
          <w:rFonts w:ascii="Calibri" w:hAnsi="Calibri"/>
          <w:b w:val="0"/>
          <w:i w:val="0"/>
          <w:color w:val="565656"/>
          <w:sz w:val="21"/>
        </w:rPr>
        <w:t>•  An application with amount, purpose, instalments and start month</w:t>
      </w:r>
    </w:p>
    <w:p>
      <w:pPr>
        <w:keepNext w:val="0"/>
        <w:spacing w:after="60" w:before="0"/>
        <w:ind w:left="360"/>
      </w:pPr>
      <w:r>
        <w:rPr>
          <w:rFonts w:ascii="Calibri" w:hAnsi="Calibri"/>
          <w:b w:val="0"/>
          <w:i w:val="0"/>
          <w:color w:val="565656"/>
          <w:sz w:val="21"/>
        </w:rPr>
        <w:t>•  An approval with a recovery schedule inside the fifty per cent limit</w:t>
      </w:r>
    </w:p>
    <w:p>
      <w:pPr>
        <w:keepNext w:val="0"/>
        <w:spacing w:after="60" w:before="0"/>
        <w:ind w:left="360"/>
      </w:pPr>
      <w:r>
        <w:rPr>
          <w:rFonts w:ascii="Calibri" w:hAnsi="Calibri"/>
          <w:b w:val="0"/>
          <w:i w:val="0"/>
          <w:color w:val="565656"/>
          <w:sz w:val="21"/>
        </w:rPr>
        <w:t>•  A policy clause where every limit is yours to set</w:t>
      </w:r>
    </w:p>
    <w:p>
      <w:pPr>
        <w:keepNext w:val="0"/>
        <w:spacing w:after="60" w:before="0"/>
        <w:ind w:left="360"/>
      </w:pPr>
      <w:r>
        <w:rPr>
          <w:rFonts w:ascii="Calibri" w:hAnsi="Calibri"/>
          <w:b w:val="0"/>
          <w:i w:val="0"/>
          <w:color w:val="565656"/>
          <w:sz w:val="21"/>
        </w:rPr>
        <w:t>•  What the law says about recovery, and what it leaves open</w:t>
      </w:r>
    </w:p>
    <w:p>
      <w:pPr>
        <w:keepNext w:val="0"/>
        <w:spacing w:after="60" w:before="0"/>
        <w:ind w:left="360"/>
      </w:pPr>
      <w:r>
        <w:rPr>
          <w:rFonts w:ascii="Calibri" w:hAnsi="Calibri"/>
          <w:b w:val="0"/>
          <w:i w:val="0"/>
          <w:color w:val="565656"/>
          <w:sz w:val="21"/>
        </w:rPr>
        <w:t>•  Six mistakes and eleven citations</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07-Oct-2026. General guidance, not legal advice.</w:t>
      </w:r>
    </w:p>
    <w:p>
      <w:r>
        <w:br w:type="page"/>
      </w:r>
    </w:p>
    <w:p>
      <w:pPr>
        <w:pStyle w:val="Heading1"/>
        <w:keepNext/>
        <w:spacing w:after="200" w:before="80"/>
        <w:ind w:left="115"/>
        <w:shd w:val="clear" w:fill="008CDB"/>
      </w:pPr>
      <w:r>
        <w:rPr>
          <w:rFonts w:ascii="Calibri" w:hAnsi="Calibri"/>
          <w:b/>
          <w:color w:val="FFFFFF"/>
          <w:sz w:val="22"/>
        </w:rPr>
        <w:t>CONTENTS</w:t>
      </w:r>
    </w:p>
    <w:p>
      <w:pPr>
        <w:keepNext w:val="0"/>
        <w:spacing w:after="80" w:before="0"/>
      </w:pPr>
      <w:r>
        <w:rPr>
          <w:rFonts w:ascii="Calibri" w:hAnsi="Calibri"/>
          <w:b w:val="0"/>
          <w:i w:val="0"/>
          <w:color w:val="1D1D1D"/>
          <w:sz w:val="20"/>
        </w:rPr>
        <w:t>1.  What the law says, and what it leaves to you</w:t>
      </w:r>
    </w:p>
    <w:p>
      <w:pPr>
        <w:keepNext w:val="0"/>
        <w:spacing w:after="80" w:before="0"/>
      </w:pPr>
      <w:r>
        <w:rPr>
          <w:rFonts w:ascii="Calibri" w:hAnsi="Calibri"/>
          <w:b w:val="0"/>
          <w:i w:val="0"/>
          <w:color w:val="1D1D1D"/>
          <w:sz w:val="20"/>
        </w:rPr>
        <w:t>2.  Working out the instalments</w:t>
      </w:r>
    </w:p>
    <w:p>
      <w:pPr>
        <w:keepNext w:val="0"/>
        <w:spacing w:after="80" w:before="0"/>
      </w:pPr>
      <w:r>
        <w:rPr>
          <w:rFonts w:ascii="Calibri" w:hAnsi="Calibri"/>
          <w:b w:val="0"/>
          <w:i w:val="0"/>
          <w:color w:val="1D1D1D"/>
          <w:sz w:val="20"/>
        </w:rPr>
        <w:t>3.  Three formats</w:t>
      </w:r>
    </w:p>
    <w:p>
      <w:pPr>
        <w:keepNext w:val="0"/>
        <w:spacing w:after="80" w:before="0"/>
      </w:pPr>
      <w:r>
        <w:rPr>
          <w:rFonts w:ascii="Calibri" w:hAnsi="Calibri"/>
          <w:b w:val="0"/>
          <w:i w:val="0"/>
          <w:color w:val="1D1D1D"/>
          <w:sz w:val="20"/>
        </w:rPr>
        <w:t>4.  Six mistakes</w:t>
      </w:r>
    </w:p>
    <w:p>
      <w:pPr>
        <w:keepNext w:val="0"/>
        <w:spacing w:after="80" w:before="0"/>
      </w:pPr>
      <w:r>
        <w:rPr>
          <w:rFonts w:ascii="Calibri" w:hAnsi="Calibri"/>
          <w:b w:val="0"/>
          <w:i w:val="0"/>
          <w:color w:val="1D1D1D"/>
          <w:sz w:val="20"/>
        </w:rPr>
        <w:t>5.  Eleven citations</w:t>
      </w:r>
    </w:p>
    <w:p>
      <w:pPr>
        <w:keepNext w:val="0"/>
        <w:spacing w:after="160" w:before="0"/>
      </w:pPr>
      <w:r>
        <w:rPr>
          <w:rFonts w:ascii="Calibri" w:hAnsi="Calibri"/>
          <w:b w:val="0"/>
          <w:i w:val="0"/>
          <w:color w:val="1D1D1D"/>
          <w:sz w:val="21"/>
        </w:rPr>
      </w:r>
    </w:p>
    <w:p>
      <w:pPr>
        <w:keepNext w:val="0"/>
        <w:spacing w:after="160" w:before="0"/>
        <w:ind w:left="216"/>
        <w:shd w:val="clear" w:fill="F4FAFE"/>
      </w:pPr>
      <w:r>
        <w:rPr>
          <w:rFonts w:ascii="Calibri" w:hAnsi="Calibri"/>
          <w:b w:val="0"/>
          <w:i w:val="0"/>
          <w:color w:val="1D1D1D"/>
          <w:sz w:val="20"/>
        </w:rPr>
        <w:t>In a hurry? Give the employee Format 01. Check the instalment against section 2's worked example, then send Format 02.</w:t>
      </w:r>
    </w:p>
    <w:p>
      <w:r>
        <w:br w:type="page"/>
      </w:r>
    </w:p>
    <w:p>
      <w:pPr>
        <w:pStyle w:val="Heading1"/>
        <w:keepNext/>
        <w:spacing w:after="200" w:before="80"/>
        <w:ind w:left="115"/>
        <w:shd w:val="clear" w:fill="008CDB"/>
      </w:pPr>
      <w:r>
        <w:rPr>
          <w:rFonts w:ascii="Calibri" w:hAnsi="Calibri"/>
          <w:b/>
          <w:color w:val="FFFFFF"/>
          <w:sz w:val="22"/>
        </w:rPr>
        <w:t>1.  WHAT THE LAW SAYS, AND WHAT IT LEAVES TO YOU</w:t>
      </w:r>
    </w:p>
    <w:p>
      <w:pPr>
        <w:keepNext w:val="0"/>
        <w:spacing w:after="160" w:before="0"/>
      </w:pPr>
      <w:r>
        <w:rPr>
          <w:rFonts w:ascii="Calibri" w:hAnsi="Calibri"/>
          <w:b w:val="0"/>
          <w:i w:val="0"/>
          <w:color w:val="1D1D1D"/>
          <w:sz w:val="20"/>
        </w:rPr>
        <w:t>No law gives an employee a right to a festival advance, and no provision read for this pack sets a maximum. Whether you offer one, to whom, and how much, is your policy. What the law does govern is getting it back.</w:t>
      </w:r>
    </w:p>
    <w:p>
      <w:pPr>
        <w:pStyle w:val="Heading2"/>
        <w:keepNext/>
        <w:spacing w:after="60" w:before="160"/>
      </w:pPr>
      <w:r>
        <w:rPr>
          <w:rFonts w:ascii="Calibri" w:hAnsi="Calibri"/>
          <w:b/>
          <w:color w:val="1D1D1D"/>
          <w:sz w:val="21"/>
        </w:rPr>
        <w:t>Recovering it from wages</w:t>
      </w:r>
    </w:p>
    <w:p>
      <w:pPr>
        <w:keepNext w:val="0"/>
        <w:spacing w:after="60" w:before="0"/>
        <w:ind w:left="360"/>
      </w:pPr>
      <w:r>
        <w:rPr>
          <w:rFonts w:ascii="Calibri" w:hAnsi="Calibri"/>
          <w:b w:val="0"/>
          <w:i w:val="0"/>
          <w:color w:val="1D1D1D"/>
          <w:sz w:val="20"/>
        </w:rPr>
        <w:t>•  An advance may be recovered from wages: section 18(2)(f) of the Code on Wages, 2019 lists advances of whatever nature, and interest on them.</w:t>
      </w:r>
    </w:p>
    <w:p>
      <w:pPr>
        <w:keepNext w:val="0"/>
        <w:spacing w:after="60" w:before="0"/>
        <w:ind w:left="360"/>
      </w:pPr>
      <w:r>
        <w:rPr>
          <w:rFonts w:ascii="Calibri" w:hAnsi="Calibri"/>
          <w:b w:val="0"/>
          <w:i w:val="0"/>
          <w:color w:val="1D1D1D"/>
          <w:sz w:val="20"/>
        </w:rPr>
        <w:t>•  In instalments you set, but any or all instalments in a wage period may not exceed fifty per cent of the wages for it, and the recovery is recorded in Form IV: rule 19 of the Code on Wages (Central) Rules, 2026.</w:t>
      </w:r>
    </w:p>
    <w:p>
      <w:pPr>
        <w:keepNext w:val="0"/>
        <w:spacing w:after="60" w:before="0"/>
        <w:ind w:left="360"/>
      </w:pPr>
      <w:r>
        <w:rPr>
          <w:rFonts w:ascii="Calibri" w:hAnsi="Calibri"/>
          <w:b w:val="0"/>
          <w:i w:val="0"/>
          <w:color w:val="1D1D1D"/>
          <w:sz w:val="20"/>
        </w:rPr>
        <w:t>•  All deductions in a wage period together may not exceed fifty per cent of the wages: section 18(3). An excess is carried forward to later wage periods: section 18(4) and rule 13.</w:t>
      </w:r>
    </w:p>
    <w:p>
      <w:pPr>
        <w:keepNext w:val="0"/>
        <w:spacing w:after="60" w:before="0"/>
        <w:ind w:left="360"/>
      </w:pPr>
      <w:r>
        <w:rPr>
          <w:rFonts w:ascii="Calibri" w:hAnsi="Calibri"/>
          <w:b w:val="0"/>
          <w:i w:val="0"/>
          <w:color w:val="1D1D1D"/>
          <w:sz w:val="20"/>
        </w:rPr>
        <w:t>•  An employee who resigns or is removed, dismissed or retrenched is paid within two working days: section 17(2). The fifty per cent limit applies to that wage period too. The Code does not say how a balance left after that is recovered; settle it with the employee rather than over-deducting.</w:t>
      </w:r>
    </w:p>
    <w:p>
      <w:pPr>
        <w:keepNext w:val="0"/>
        <w:spacing w:after="160" w:before="0"/>
        <w:ind w:left="216"/>
        <w:shd w:val="clear" w:fill="FFF8E8"/>
      </w:pPr>
      <w:r>
        <w:rPr>
          <w:rFonts w:ascii="Calibri" w:hAnsi="Calibri"/>
          <w:b w:val="0"/>
          <w:i w:val="0"/>
          <w:color w:val="1D1D1D"/>
          <w:sz w:val="20"/>
        </w:rPr>
        <w:t>Not an advance against bonus. A festival advance comes back from wages. An advance against the statutory bonus comes off the bonus under section 37 and never touches wages. Keep them in separate letters; the Diwali bonus letter pack has the bonus one.</w:t>
      </w:r>
    </w:p>
    <w:p>
      <w:pPr>
        <w:keepNext w:val="0"/>
        <w:spacing w:after="160" w:before="0"/>
      </w:pPr>
      <w:r>
        <w:rPr>
          <w:rFonts w:ascii="Calibri" w:hAnsi="Calibri"/>
          <w:b w:val="0"/>
          <w:i w:val="0"/>
          <w:color w:val="1D1D1D"/>
          <w:sz w:val="20"/>
        </w:rPr>
        <w:t>Rules 13 and 19 are the Central Government's, for the Central sphere: Central Government bodies, railways, mines, oil fields, major ports, airlines, telecom, banks, insurers, central public sector undertakings and their contractors. Everyone else reads their State's rule on recovering advances. The Code's own limits, section 18(3) and section 17(2), bind everyone. And if you already run a festival advance every year, changing or withdrawing it needs twenty-one days' notice to workers under section 40 of the Industrial Relations Code.</w:t>
      </w:r>
    </w:p>
    <w:p>
      <w:pPr>
        <w:spacing w:after="120"/>
        <w:ind w:left="288"/>
      </w:pPr>
      <w:r>
        <w:rPr>
          <w:rFonts w:ascii="Calibri" w:hAnsi="Calibri"/>
          <w:b/>
          <w:color w:val="0069A4"/>
          <w:sz w:val="17"/>
        </w:rPr>
        <w:t xml:space="preserve">Rests on  </w:t>
      </w:r>
      <w:r>
        <w:rPr>
          <w:rFonts w:ascii="Calibri" w:hAnsi="Calibri"/>
          <w:i/>
          <w:color w:val="565656"/>
          <w:sz w:val="17"/>
        </w:rPr>
        <w:t>Code on Wages, 2019, s.17(2), s.18(2)(f), (3), (4), s.23(b), s.37; Code on Wages (Central) Rules, 2026, rules 13, 19; IR Code, s.40</w:t>
      </w:r>
    </w:p>
    <w:p>
      <w:r>
        <w:br w:type="page"/>
      </w:r>
    </w:p>
    <w:p>
      <w:pPr>
        <w:pStyle w:val="Heading1"/>
        <w:keepNext/>
        <w:spacing w:after="200" w:before="80"/>
        <w:ind w:left="115"/>
        <w:shd w:val="clear" w:fill="008CDB"/>
      </w:pPr>
      <w:r>
        <w:rPr>
          <w:rFonts w:ascii="Calibri" w:hAnsi="Calibri"/>
          <w:b/>
          <w:color w:val="FFFFFF"/>
          <w:sz w:val="22"/>
        </w:rPr>
        <w:t>2.  WORKING OUT THE INSTALMENTS</w:t>
      </w:r>
    </w:p>
    <w:p>
      <w:pPr>
        <w:keepNext w:val="0"/>
        <w:spacing w:after="160" w:before="0"/>
      </w:pPr>
      <w:r>
        <w:rPr>
          <w:rFonts w:ascii="Calibri" w:hAnsi="Calibri"/>
          <w:b w:val="0"/>
          <w:i w:val="0"/>
          <w:color w:val="1D1D1D"/>
          <w:sz w:val="20"/>
        </w:rPr>
        <w:t>Before you approve, check the instalment fits inside the fifty per cent limit once the month's other deductions are counted. Every figure marked as an example is one.</w:t>
      </w:r>
    </w:p>
    <w:tbl>
      <w:tblPr>
        <w:tblStyle w:val="TableGrid"/>
        <w:tblW w:type="auto" w:w="0"/>
        <w:tblLook w:firstColumn="1" w:firstRow="1" w:lastColumn="0" w:lastRow="0" w:noHBand="0" w:noVBand="1" w:val="04A0"/>
      </w:tblPr>
      <w:tblGrid>
        <w:gridCol w:w="3216"/>
        <w:gridCol w:w="3216"/>
        <w:gridCol w:w="3216"/>
      </w:tblGrid>
      <w:tr>
        <w:tc>
          <w:tcPr>
            <w:tcW w:type="dxa" w:w="720"/>
          </w:tcPr>
          <w:p>
            <w:pPr>
              <w:spacing w:after="40"/>
              <w:shd w:val="clear" w:fill="E8F4FC"/>
            </w:pPr>
            <w:r/>
            <w:r>
              <w:rPr>
                <w:rFonts w:ascii="Calibri" w:hAnsi="Calibri"/>
                <w:b/>
                <w:color w:val="0069A4"/>
                <w:sz w:val="18"/>
              </w:rPr>
              <w:t>Line</w:t>
            </w:r>
          </w:p>
        </w:tc>
        <w:tc>
          <w:tcPr>
            <w:tcW w:type="dxa" w:w="6624"/>
          </w:tcPr>
          <w:p>
            <w:pPr>
              <w:spacing w:after="40"/>
              <w:shd w:val="clear" w:fill="E8F4FC"/>
            </w:pPr>
            <w:r/>
            <w:r>
              <w:rPr>
                <w:rFonts w:ascii="Calibri" w:hAnsi="Calibri"/>
                <w:b/>
                <w:color w:val="0069A4"/>
                <w:sz w:val="18"/>
              </w:rPr>
              <w:t>Step</w:t>
            </w:r>
          </w:p>
        </w:tc>
        <w:tc>
          <w:tcPr>
            <w:tcW w:type="dxa" w:w="2304"/>
          </w:tcPr>
          <w:p>
            <w:pPr>
              <w:spacing w:after="40"/>
              <w:shd w:val="clear" w:fill="E8F4FC"/>
            </w:pPr>
            <w:r/>
            <w:r>
              <w:rPr>
                <w:rFonts w:ascii="Calibri" w:hAnsi="Calibri"/>
                <w:b/>
                <w:color w:val="0069A4"/>
                <w:sz w:val="18"/>
              </w:rPr>
              <w:t>Figure</w:t>
            </w:r>
          </w:p>
        </w:tc>
      </w:tr>
      <w:tr>
        <w:tc>
          <w:tcPr>
            <w:tcW w:type="dxa" w:w="720"/>
          </w:tcPr>
          <w:p>
            <w:pPr>
              <w:spacing w:after="40"/>
            </w:pPr>
            <w:r/>
            <w:r>
              <w:rPr>
                <w:rFonts w:ascii="Calibri" w:hAnsi="Calibri"/>
                <w:color w:val="565656"/>
                <w:sz w:val="18"/>
              </w:rPr>
              <w:t>A</w:t>
            </w:r>
          </w:p>
        </w:tc>
        <w:tc>
          <w:tcPr>
            <w:tcW w:type="dxa" w:w="6624"/>
          </w:tcPr>
          <w:p>
            <w:pPr>
              <w:spacing w:after="40"/>
            </w:pPr>
            <w:r/>
            <w:r>
              <w:rPr>
                <w:rFonts w:ascii="Calibri" w:hAnsi="Calibri"/>
                <w:color w:val="565656"/>
                <w:sz w:val="18"/>
              </w:rPr>
              <w:t>Wages for the month (an example)</w:t>
            </w:r>
          </w:p>
        </w:tc>
        <w:tc>
          <w:tcPr>
            <w:tcW w:type="dxa" w:w="2304"/>
          </w:tcPr>
          <w:p>
            <w:pPr>
              <w:spacing w:after="40"/>
            </w:pPr>
            <w:r/>
            <w:r>
              <w:rPr>
                <w:rFonts w:ascii="Calibri" w:hAnsi="Calibri"/>
                <w:color w:val="565656"/>
                <w:sz w:val="18"/>
              </w:rPr>
              <w:t>₹18,000</w:t>
            </w:r>
          </w:p>
        </w:tc>
      </w:tr>
      <w:tr>
        <w:tc>
          <w:tcPr>
            <w:tcW w:type="dxa" w:w="720"/>
          </w:tcPr>
          <w:p>
            <w:pPr>
              <w:spacing w:after="40"/>
            </w:pPr>
            <w:r/>
            <w:r>
              <w:rPr>
                <w:rFonts w:ascii="Calibri" w:hAnsi="Calibri"/>
                <w:color w:val="565656"/>
                <w:sz w:val="18"/>
              </w:rPr>
              <w:t>B</w:t>
            </w:r>
          </w:p>
        </w:tc>
        <w:tc>
          <w:tcPr>
            <w:tcW w:type="dxa" w:w="6624"/>
          </w:tcPr>
          <w:p>
            <w:pPr>
              <w:spacing w:after="40"/>
            </w:pPr>
            <w:r/>
            <w:r>
              <w:rPr>
                <w:rFonts w:ascii="Calibri" w:hAnsi="Calibri"/>
                <w:color w:val="565656"/>
                <w:sz w:val="18"/>
              </w:rPr>
              <w:t>Half of A: the most all deductions can take</w:t>
            </w:r>
          </w:p>
        </w:tc>
        <w:tc>
          <w:tcPr>
            <w:tcW w:type="dxa" w:w="2304"/>
          </w:tcPr>
          <w:p>
            <w:pPr>
              <w:spacing w:after="40"/>
            </w:pPr>
            <w:r/>
            <w:r>
              <w:rPr>
                <w:rFonts w:ascii="Calibri" w:hAnsi="Calibri"/>
                <w:color w:val="565656"/>
                <w:sz w:val="18"/>
              </w:rPr>
              <w:t>₹9,000</w:t>
            </w:r>
          </w:p>
        </w:tc>
      </w:tr>
      <w:tr>
        <w:tc>
          <w:tcPr>
            <w:tcW w:type="dxa" w:w="720"/>
          </w:tcPr>
          <w:p>
            <w:pPr>
              <w:spacing w:after="40"/>
            </w:pPr>
            <w:r/>
            <w:r>
              <w:rPr>
                <w:rFonts w:ascii="Calibri" w:hAnsi="Calibri"/>
                <w:color w:val="565656"/>
                <w:sz w:val="18"/>
              </w:rPr>
              <w:t>C</w:t>
            </w:r>
          </w:p>
        </w:tc>
        <w:tc>
          <w:tcPr>
            <w:tcW w:type="dxa" w:w="6624"/>
          </w:tcPr>
          <w:p>
            <w:pPr>
              <w:spacing w:after="40"/>
            </w:pPr>
            <w:r/>
            <w:r>
              <w:rPr>
                <w:rFonts w:ascii="Calibri" w:hAnsi="Calibri"/>
                <w:color w:val="565656"/>
                <w:sz w:val="18"/>
              </w:rPr>
              <w:t>Other deductions that month: PF and similar (an example)</w:t>
            </w:r>
          </w:p>
        </w:tc>
        <w:tc>
          <w:tcPr>
            <w:tcW w:type="dxa" w:w="2304"/>
          </w:tcPr>
          <w:p>
            <w:pPr>
              <w:spacing w:after="40"/>
            </w:pPr>
            <w:r/>
            <w:r>
              <w:rPr>
                <w:rFonts w:ascii="Calibri" w:hAnsi="Calibri"/>
                <w:color w:val="565656"/>
                <w:sz w:val="18"/>
              </w:rPr>
              <w:t>₹1,800</w:t>
            </w:r>
          </w:p>
        </w:tc>
      </w:tr>
      <w:tr>
        <w:tc>
          <w:tcPr>
            <w:tcW w:type="dxa" w:w="720"/>
          </w:tcPr>
          <w:p>
            <w:pPr>
              <w:spacing w:after="40"/>
            </w:pPr>
            <w:r/>
            <w:r>
              <w:rPr>
                <w:rFonts w:ascii="Calibri" w:hAnsi="Calibri"/>
                <w:color w:val="565656"/>
                <w:sz w:val="18"/>
              </w:rPr>
              <w:t>D</w:t>
            </w:r>
          </w:p>
        </w:tc>
        <w:tc>
          <w:tcPr>
            <w:tcW w:type="dxa" w:w="6624"/>
          </w:tcPr>
          <w:p>
            <w:pPr>
              <w:spacing w:after="40"/>
            </w:pPr>
            <w:r/>
            <w:r>
              <w:rPr>
                <w:rFonts w:ascii="Calibri" w:hAnsi="Calibri"/>
                <w:color w:val="565656"/>
                <w:sz w:val="18"/>
              </w:rPr>
              <w:t>Room left for the advance instalment: B less C</w:t>
            </w:r>
          </w:p>
        </w:tc>
        <w:tc>
          <w:tcPr>
            <w:tcW w:type="dxa" w:w="2304"/>
          </w:tcPr>
          <w:p>
            <w:pPr>
              <w:spacing w:after="40"/>
            </w:pPr>
            <w:r/>
            <w:r>
              <w:rPr>
                <w:rFonts w:ascii="Calibri" w:hAnsi="Calibri"/>
                <w:color w:val="565656"/>
                <w:sz w:val="18"/>
              </w:rPr>
              <w:t>₹7,200</w:t>
            </w:r>
          </w:p>
        </w:tc>
      </w:tr>
      <w:tr>
        <w:tc>
          <w:tcPr>
            <w:tcW w:type="dxa" w:w="720"/>
          </w:tcPr>
          <w:p>
            <w:pPr>
              <w:spacing w:after="40"/>
            </w:pPr>
            <w:r/>
            <w:r>
              <w:rPr>
                <w:rFonts w:ascii="Calibri" w:hAnsi="Calibri"/>
                <w:color w:val="565656"/>
                <w:sz w:val="18"/>
              </w:rPr>
              <w:t>E</w:t>
            </w:r>
          </w:p>
        </w:tc>
        <w:tc>
          <w:tcPr>
            <w:tcW w:type="dxa" w:w="6624"/>
          </w:tcPr>
          <w:p>
            <w:pPr>
              <w:spacing w:after="40"/>
            </w:pPr>
            <w:r/>
            <w:r>
              <w:rPr>
                <w:rFonts w:ascii="Calibri" w:hAnsi="Calibri"/>
                <w:color w:val="565656"/>
                <w:sz w:val="18"/>
              </w:rPr>
              <w:t>Advance (an example)</w:t>
            </w:r>
          </w:p>
        </w:tc>
        <w:tc>
          <w:tcPr>
            <w:tcW w:type="dxa" w:w="2304"/>
          </w:tcPr>
          <w:p>
            <w:pPr>
              <w:spacing w:after="40"/>
            </w:pPr>
            <w:r/>
            <w:r>
              <w:rPr>
                <w:rFonts w:ascii="Calibri" w:hAnsi="Calibri"/>
                <w:color w:val="565656"/>
                <w:sz w:val="18"/>
              </w:rPr>
              <w:t>₹15,000</w:t>
            </w:r>
          </w:p>
        </w:tc>
      </w:tr>
      <w:tr>
        <w:tc>
          <w:tcPr>
            <w:tcW w:type="dxa" w:w="720"/>
          </w:tcPr>
          <w:p>
            <w:pPr>
              <w:spacing w:after="40"/>
            </w:pPr>
            <w:r/>
            <w:r>
              <w:rPr>
                <w:rFonts w:ascii="Calibri" w:hAnsi="Calibri"/>
                <w:color w:val="565656"/>
                <w:sz w:val="18"/>
              </w:rPr>
              <w:t>F</w:t>
            </w:r>
          </w:p>
        </w:tc>
        <w:tc>
          <w:tcPr>
            <w:tcW w:type="dxa" w:w="6624"/>
          </w:tcPr>
          <w:p>
            <w:pPr>
              <w:spacing w:after="40"/>
            </w:pPr>
            <w:r/>
            <w:r>
              <w:rPr>
                <w:rFonts w:ascii="Calibri" w:hAnsi="Calibri"/>
                <w:color w:val="565656"/>
                <w:sz w:val="18"/>
              </w:rPr>
              <w:t>Instalments (an example)</w:t>
            </w:r>
          </w:p>
        </w:tc>
        <w:tc>
          <w:tcPr>
            <w:tcW w:type="dxa" w:w="2304"/>
          </w:tcPr>
          <w:p>
            <w:pPr>
              <w:spacing w:after="40"/>
            </w:pPr>
            <w:r/>
            <w:r>
              <w:rPr>
                <w:rFonts w:ascii="Calibri" w:hAnsi="Calibri"/>
                <w:color w:val="565656"/>
                <w:sz w:val="18"/>
              </w:rPr>
              <w:t>5</w:t>
            </w:r>
          </w:p>
        </w:tc>
      </w:tr>
      <w:tr>
        <w:tc>
          <w:tcPr>
            <w:tcW w:type="dxa" w:w="720"/>
          </w:tcPr>
          <w:p>
            <w:pPr>
              <w:spacing w:after="40"/>
            </w:pPr>
            <w:r/>
            <w:r>
              <w:rPr>
                <w:rFonts w:ascii="Calibri" w:hAnsi="Calibri"/>
                <w:color w:val="565656"/>
                <w:sz w:val="18"/>
              </w:rPr>
              <w:t>G</w:t>
            </w:r>
          </w:p>
        </w:tc>
        <w:tc>
          <w:tcPr>
            <w:tcW w:type="dxa" w:w="6624"/>
          </w:tcPr>
          <w:p>
            <w:pPr>
              <w:spacing w:after="40"/>
            </w:pPr>
            <w:r/>
            <w:r>
              <w:rPr>
                <w:rFonts w:ascii="Calibri" w:hAnsi="Calibri"/>
                <w:color w:val="565656"/>
                <w:sz w:val="18"/>
              </w:rPr>
              <w:t>Instalment: E ÷ F</w:t>
            </w:r>
          </w:p>
        </w:tc>
        <w:tc>
          <w:tcPr>
            <w:tcW w:type="dxa" w:w="2304"/>
          </w:tcPr>
          <w:p>
            <w:pPr>
              <w:spacing w:after="40"/>
            </w:pPr>
            <w:r/>
            <w:r>
              <w:rPr>
                <w:rFonts w:ascii="Calibri" w:hAnsi="Calibri"/>
                <w:color w:val="565656"/>
                <w:sz w:val="18"/>
              </w:rPr>
              <w:t>₹3,000</w:t>
            </w:r>
          </w:p>
        </w:tc>
      </w:tr>
      <w:tr>
        <w:tc>
          <w:tcPr>
            <w:tcW w:type="dxa" w:w="720"/>
          </w:tcPr>
          <w:p>
            <w:pPr>
              <w:spacing w:after="40"/>
            </w:pPr>
            <w:r/>
            <w:r>
              <w:rPr>
                <w:rFonts w:ascii="Calibri" w:hAnsi="Calibri"/>
                <w:color w:val="565656"/>
                <w:sz w:val="18"/>
              </w:rPr>
              <w:t>H</w:t>
            </w:r>
          </w:p>
        </w:tc>
        <w:tc>
          <w:tcPr>
            <w:tcW w:type="dxa" w:w="6624"/>
          </w:tcPr>
          <w:p>
            <w:pPr>
              <w:spacing w:after="40"/>
            </w:pPr>
            <w:r/>
            <w:r>
              <w:rPr>
                <w:rFonts w:ascii="Calibri" w:hAnsi="Calibri"/>
                <w:color w:val="565656"/>
                <w:sz w:val="18"/>
              </w:rPr>
              <w:t>G is within D?</w:t>
            </w:r>
          </w:p>
        </w:tc>
        <w:tc>
          <w:tcPr>
            <w:tcW w:type="dxa" w:w="2304"/>
          </w:tcPr>
          <w:p>
            <w:pPr>
              <w:spacing w:after="40"/>
            </w:pPr>
            <w:r/>
            <w:r>
              <w:rPr>
                <w:rFonts w:ascii="Calibri" w:hAnsi="Calibri"/>
                <w:color w:val="565656"/>
                <w:sz w:val="18"/>
              </w:rPr>
              <w:t>Yes</w:t>
            </w:r>
          </w:p>
        </w:tc>
      </w:tr>
    </w:tbl>
    <w:p>
      <w:pPr>
        <w:keepNext w:val="0"/>
        <w:spacing w:after="120" w:before="0"/>
      </w:pPr>
      <w:r>
        <w:rPr>
          <w:rFonts w:ascii="Calibri" w:hAnsi="Calibri"/>
          <w:b w:val="0"/>
          <w:i w:val="0"/>
          <w:color w:val="1D1D1D"/>
          <w:sz w:val="21"/>
        </w:rPr>
      </w:r>
    </w:p>
    <w:p>
      <w:pPr>
        <w:keepNext w:val="0"/>
        <w:spacing w:after="120" w:before="0"/>
      </w:pPr>
      <w:r>
        <w:rPr>
          <w:rFonts w:ascii="Calibri" w:hAnsi="Calibri"/>
          <w:b w:val="0"/>
          <w:i w:val="0"/>
          <w:color w:val="1D1D1D"/>
          <w:sz w:val="20"/>
        </w:rPr>
        <w:t>If line H says No, spread the advance over more months or sanction less. Count every deduction that month, including a fine or a loan instalment.</w:t>
      </w:r>
    </w:p>
    <w:p>
      <w:r>
        <w:br w:type="page"/>
      </w:r>
    </w:p>
    <w:p>
      <w:pPr>
        <w:pStyle w:val="Heading1"/>
        <w:keepNext/>
        <w:spacing w:after="200" w:before="80"/>
        <w:ind w:left="115"/>
        <w:shd w:val="clear" w:fill="008CDB"/>
      </w:pPr>
      <w:r>
        <w:rPr>
          <w:rFonts w:ascii="Calibri" w:hAnsi="Calibri"/>
          <w:b/>
          <w:color w:val="FFFFFF"/>
          <w:sz w:val="22"/>
        </w:rPr>
        <w:t>3.  THREE FORMATS</w:t>
      </w:r>
    </w:p>
    <w:p>
      <w:pPr>
        <w:keepNext w:val="0"/>
        <w:spacing w:after="160" w:before="0"/>
      </w:pPr>
      <w:r>
        <w:rPr>
          <w:rFonts w:ascii="Calibri" w:hAnsi="Calibri"/>
          <w:b w:val="0"/>
          <w:i w:val="0"/>
          <w:color w:val="565656"/>
          <w:sz w:val="20"/>
        </w:rPr>
        <w:t>Everything in [CAPITALS] is yours to fill or delete. Where a bracket offers choices split by '/', keep one.</w:t>
      </w:r>
    </w:p>
    <w:p>
      <w:pPr>
        <w:pStyle w:val="Heading1"/>
        <w:keepNext/>
        <w:spacing w:after="200" w:before="80"/>
        <w:ind w:left="115"/>
        <w:shd w:val="clear" w:fill="0069A4"/>
      </w:pPr>
      <w:r>
        <w:rPr>
          <w:rFonts w:ascii="Calibri" w:hAnsi="Calibri"/>
          <w:b/>
          <w:color w:val="FFFFFF"/>
          <w:sz w:val="20"/>
        </w:rPr>
        <w:t>FORMAT 01  ·  FESTIVAL ADVANCE APPLICATION</w:t>
      </w:r>
    </w:p>
    <w:p>
      <w:pPr>
        <w:keepNext w:val="0"/>
        <w:spacing w:after="120" w:before="0"/>
        <w:ind w:left="144"/>
        <w:shd w:val="clear" w:fill="F4FAFE"/>
      </w:pPr>
      <w:r>
        <w:rPr>
          <w:rFonts w:ascii="Calibri" w:hAnsi="Calibri"/>
          <w:b w:val="0"/>
          <w:i/>
          <w:color w:val="565656"/>
          <w:sz w:val="18"/>
        </w:rPr>
        <w:t>Note for HR, delete before sending: For the employee to fill and sign. Amount, purpose, instalments and start month are theirs to propose; you decide on Format 02.</w:t>
      </w:r>
    </w:p>
    <w:p>
      <w:pPr>
        <w:keepNext w:val="0"/>
        <w:spacing w:after="120" w:before="0"/>
        <w:ind w:left="144"/>
      </w:pPr>
      <w:r>
        <w:rPr>
          <w:rFonts w:ascii="Calibri" w:hAnsi="Calibri"/>
          <w:b w:val="0"/>
          <w:i/>
          <w:color w:val="565656"/>
          <w:sz w:val="16"/>
        </w:rPr>
        <w:t>The letter starts below.</w:t>
      </w:r>
    </w:p>
    <w:p>
      <w:pPr>
        <w:keepNext w:val="0"/>
        <w:spacing w:after="160" w:before="0"/>
      </w:pPr>
      <w:r>
        <w:rPr>
          <w:rFonts w:ascii="Calibri" w:hAnsi="Calibri"/>
          <w:b w:val="0"/>
          <w:i w:val="0"/>
          <w:color w:val="1D1D1D"/>
          <w:sz w:val="19"/>
        </w:rPr>
        <w:t>Date: [DD-MMM-YYYY]</w:t>
      </w:r>
    </w:p>
    <w:p>
      <w:pPr>
        <w:keepNext w:val="0"/>
        <w:spacing w:after="100" w:before="0"/>
      </w:pPr>
      <w:r>
        <w:rPr>
          <w:rFonts w:ascii="Calibri" w:hAnsi="Calibri"/>
          <w:b w:val="0"/>
          <w:i w:val="0"/>
          <w:color w:val="1D1D1D"/>
          <w:sz w:val="20"/>
        </w:rPr>
        <w:t>To: [HR / MANAGER NAME], [COMPANY NAME]</w:t>
      </w:r>
    </w:p>
    <w:p>
      <w:pPr>
        <w:keepNext w:val="0"/>
        <w:spacing w:after="100" w:before="0"/>
      </w:pPr>
      <w:r>
        <w:rPr>
          <w:rFonts w:ascii="Calibri" w:hAnsi="Calibri"/>
          <w:b w:val="0"/>
          <w:i w:val="0"/>
          <w:color w:val="1D1D1D"/>
          <w:sz w:val="20"/>
        </w:rPr>
        <w:t>Subject: Application for a festival advance</w:t>
      </w:r>
    </w:p>
    <w:p>
      <w:pPr>
        <w:keepNext w:val="0"/>
        <w:spacing w:after="100" w:before="0"/>
      </w:pPr>
      <w:r>
        <w:rPr>
          <w:rFonts w:ascii="Calibri" w:hAnsi="Calibri"/>
          <w:b w:val="0"/>
          <w:i w:val="0"/>
          <w:color w:val="1D1D1D"/>
          <w:sz w:val="20"/>
        </w:rPr>
        <w:t>Dear [NAME],</w:t>
      </w:r>
    </w:p>
    <w:p>
      <w:pPr>
        <w:keepNext w:val="0"/>
        <w:spacing w:after="100" w:before="0"/>
      </w:pPr>
      <w:r>
        <w:rPr>
          <w:rFonts w:ascii="Calibri" w:hAnsi="Calibri"/>
          <w:b w:val="0"/>
          <w:i w:val="0"/>
          <w:color w:val="1D1D1D"/>
          <w:sz w:val="20"/>
        </w:rPr>
        <w:t>I request a festival advance as below, and I agree that it may be recovered from my wages in the instalments approved.</w:t>
      </w:r>
    </w:p>
    <w:tbl>
      <w:tblPr>
        <w:tblStyle w:val="TableGrid"/>
        <w:tblW w:type="auto" w:w="0"/>
        <w:tblLook w:firstColumn="1" w:firstRow="1" w:lastColumn="0" w:lastRow="0" w:noHBand="0" w:noVBand="1" w:val="04A0"/>
      </w:tblPr>
      <w:tblGrid>
        <w:gridCol w:w="4824"/>
        <w:gridCol w:w="4824"/>
      </w:tblGrid>
      <w:tr>
        <w:tc>
          <w:tcPr>
            <w:tcW w:type="dxa" w:w="3744"/>
          </w:tcPr>
          <w:p>
            <w:pPr>
              <w:spacing w:after="40"/>
              <w:shd w:val="clear" w:fill="E8F4FC"/>
            </w:pPr>
            <w:r/>
            <w:r>
              <w:rPr>
                <w:rFonts w:ascii="Calibri" w:hAnsi="Calibri"/>
                <w:b/>
                <w:color w:val="0069A4"/>
                <w:sz w:val="19"/>
              </w:rPr>
              <w:t>Item</w:t>
            </w:r>
          </w:p>
        </w:tc>
        <w:tc>
          <w:tcPr>
            <w:tcW w:type="dxa" w:w="5616"/>
          </w:tcPr>
          <w:p>
            <w:pPr>
              <w:spacing w:after="40"/>
              <w:shd w:val="clear" w:fill="E8F4FC"/>
            </w:pPr>
            <w:r/>
            <w:r>
              <w:rPr>
                <w:rFonts w:ascii="Calibri" w:hAnsi="Calibri"/>
                <w:b/>
                <w:color w:val="0069A4"/>
                <w:sz w:val="19"/>
              </w:rPr>
              <w:t>Detail</w:t>
            </w:r>
          </w:p>
        </w:tc>
      </w:tr>
      <w:tr>
        <w:tc>
          <w:tcPr>
            <w:tcW w:type="dxa" w:w="3744"/>
          </w:tcPr>
          <w:p>
            <w:pPr>
              <w:spacing w:after="40"/>
            </w:pPr>
            <w:r/>
            <w:r>
              <w:rPr>
                <w:rFonts w:ascii="Calibri" w:hAnsi="Calibri"/>
                <w:color w:val="565656"/>
                <w:sz w:val="19"/>
              </w:rPr>
              <w:t>Name and employee code</w:t>
            </w:r>
          </w:p>
        </w:tc>
        <w:tc>
          <w:tcPr>
            <w:tcW w:type="dxa" w:w="5616"/>
          </w:tcPr>
          <w:p>
            <w:pPr>
              <w:spacing w:after="40"/>
            </w:pPr>
            <w:r/>
            <w:r>
              <w:rPr>
                <w:rFonts w:ascii="Calibri" w:hAnsi="Calibri"/>
                <w:color w:val="565656"/>
                <w:sz w:val="19"/>
              </w:rPr>
              <w:t>[NAME], [CODE]</w:t>
            </w:r>
          </w:p>
        </w:tc>
      </w:tr>
      <w:tr>
        <w:tc>
          <w:tcPr>
            <w:tcW w:type="dxa" w:w="3744"/>
          </w:tcPr>
          <w:p>
            <w:pPr>
              <w:spacing w:after="40"/>
            </w:pPr>
            <w:r/>
            <w:r>
              <w:rPr>
                <w:rFonts w:ascii="Calibri" w:hAnsi="Calibri"/>
                <w:color w:val="565656"/>
                <w:sz w:val="19"/>
              </w:rPr>
              <w:t>Department and branch</w:t>
            </w:r>
          </w:p>
        </w:tc>
        <w:tc>
          <w:tcPr>
            <w:tcW w:type="dxa" w:w="5616"/>
          </w:tcPr>
          <w:p>
            <w:pPr>
              <w:spacing w:after="40"/>
            </w:pPr>
            <w:r/>
            <w:r>
              <w:rPr>
                <w:rFonts w:ascii="Calibri" w:hAnsi="Calibri"/>
                <w:color w:val="565656"/>
                <w:sz w:val="19"/>
              </w:rPr>
              <w:t>[DEPARTMENT], [BRANCH]</w:t>
            </w:r>
          </w:p>
        </w:tc>
      </w:tr>
      <w:tr>
        <w:tc>
          <w:tcPr>
            <w:tcW w:type="dxa" w:w="3744"/>
          </w:tcPr>
          <w:p>
            <w:pPr>
              <w:spacing w:after="40"/>
            </w:pPr>
            <w:r/>
            <w:r>
              <w:rPr>
                <w:rFonts w:ascii="Calibri" w:hAnsi="Calibri"/>
                <w:color w:val="565656"/>
                <w:sz w:val="19"/>
              </w:rPr>
              <w:t>Festival</w:t>
            </w:r>
          </w:p>
        </w:tc>
        <w:tc>
          <w:tcPr>
            <w:tcW w:type="dxa" w:w="5616"/>
          </w:tcPr>
          <w:p>
            <w:pPr>
              <w:spacing w:after="40"/>
            </w:pPr>
            <w:r/>
            <w:r>
              <w:rPr>
                <w:rFonts w:ascii="Calibri" w:hAnsi="Calibri"/>
                <w:color w:val="565656"/>
                <w:sz w:val="19"/>
              </w:rPr>
              <w:t>[DIWALI / OTHER FESTIVAL]</w:t>
            </w:r>
          </w:p>
        </w:tc>
      </w:tr>
      <w:tr>
        <w:tc>
          <w:tcPr>
            <w:tcW w:type="dxa" w:w="3744"/>
          </w:tcPr>
          <w:p>
            <w:pPr>
              <w:spacing w:after="40"/>
            </w:pPr>
            <w:r/>
            <w:r>
              <w:rPr>
                <w:rFonts w:ascii="Calibri" w:hAnsi="Calibri"/>
                <w:color w:val="565656"/>
                <w:sz w:val="19"/>
              </w:rPr>
              <w:t>Amount requested</w:t>
            </w:r>
          </w:p>
        </w:tc>
        <w:tc>
          <w:tcPr>
            <w:tcW w:type="dxa" w:w="5616"/>
          </w:tcPr>
          <w:p>
            <w:pPr>
              <w:spacing w:after="40"/>
            </w:pPr>
            <w:r/>
            <w:r>
              <w:rPr>
                <w:rFonts w:ascii="Calibri" w:hAnsi="Calibri"/>
                <w:color w:val="565656"/>
                <w:sz w:val="19"/>
              </w:rPr>
              <w:t>₹[AMOUNT REQUESTED]</w:t>
            </w:r>
          </w:p>
        </w:tc>
      </w:tr>
      <w:tr>
        <w:tc>
          <w:tcPr>
            <w:tcW w:type="dxa" w:w="3744"/>
          </w:tcPr>
          <w:p>
            <w:pPr>
              <w:spacing w:after="40"/>
            </w:pPr>
            <w:r/>
            <w:r>
              <w:rPr>
                <w:rFonts w:ascii="Calibri" w:hAnsi="Calibri"/>
                <w:color w:val="565656"/>
                <w:sz w:val="19"/>
              </w:rPr>
              <w:t>Purpose</w:t>
            </w:r>
          </w:p>
        </w:tc>
        <w:tc>
          <w:tcPr>
            <w:tcW w:type="dxa" w:w="5616"/>
          </w:tcPr>
          <w:p>
            <w:pPr>
              <w:spacing w:after="40"/>
            </w:pPr>
            <w:r/>
            <w:r>
              <w:rPr>
                <w:rFonts w:ascii="Calibri" w:hAnsi="Calibri"/>
                <w:color w:val="565656"/>
                <w:sz w:val="19"/>
              </w:rPr>
              <w:t>[PURPOSE]</w:t>
            </w:r>
          </w:p>
        </w:tc>
      </w:tr>
      <w:tr>
        <w:tc>
          <w:tcPr>
            <w:tcW w:type="dxa" w:w="3744"/>
          </w:tcPr>
          <w:p>
            <w:pPr>
              <w:spacing w:after="40"/>
            </w:pPr>
            <w:r/>
            <w:r>
              <w:rPr>
                <w:rFonts w:ascii="Calibri" w:hAnsi="Calibri"/>
                <w:color w:val="565656"/>
                <w:sz w:val="19"/>
              </w:rPr>
              <w:t>Number of monthly instalments proposed</w:t>
            </w:r>
          </w:p>
        </w:tc>
        <w:tc>
          <w:tcPr>
            <w:tcW w:type="dxa" w:w="5616"/>
          </w:tcPr>
          <w:p>
            <w:pPr>
              <w:spacing w:after="40"/>
            </w:pPr>
            <w:r/>
            <w:r>
              <w:rPr>
                <w:rFonts w:ascii="Calibri" w:hAnsi="Calibri"/>
                <w:color w:val="565656"/>
                <w:sz w:val="19"/>
              </w:rPr>
              <w:t>[NUMBER]</w:t>
            </w:r>
          </w:p>
        </w:tc>
      </w:tr>
      <w:tr>
        <w:tc>
          <w:tcPr>
            <w:tcW w:type="dxa" w:w="3744"/>
          </w:tcPr>
          <w:p>
            <w:pPr>
              <w:spacing w:after="40"/>
            </w:pPr>
            <w:r/>
            <w:r>
              <w:rPr>
                <w:rFonts w:ascii="Calibri" w:hAnsi="Calibri"/>
                <w:color w:val="565656"/>
                <w:sz w:val="19"/>
              </w:rPr>
              <w:t>First instalment to be recovered from wages for</w:t>
            </w:r>
          </w:p>
        </w:tc>
        <w:tc>
          <w:tcPr>
            <w:tcW w:type="dxa" w:w="5616"/>
          </w:tcPr>
          <w:p>
            <w:pPr>
              <w:spacing w:after="40"/>
            </w:pPr>
            <w:r/>
            <w:r>
              <w:rPr>
                <w:rFonts w:ascii="Calibri" w:hAnsi="Calibri"/>
                <w:color w:val="565656"/>
                <w:sz w:val="19"/>
              </w:rPr>
              <w:t>[MONTH YEAR]</w:t>
            </w:r>
          </w:p>
        </w:tc>
      </w:tr>
      <w:tr>
        <w:tc>
          <w:tcPr>
            <w:tcW w:type="dxa" w:w="3744"/>
          </w:tcPr>
          <w:p>
            <w:pPr>
              <w:spacing w:after="40"/>
            </w:pPr>
            <w:r/>
            <w:r>
              <w:rPr>
                <w:rFonts w:ascii="Calibri" w:hAnsi="Calibri"/>
                <w:color w:val="565656"/>
                <w:sz w:val="19"/>
              </w:rPr>
              <w:t>Any advance already outstanding</w:t>
            </w:r>
          </w:p>
        </w:tc>
        <w:tc>
          <w:tcPr>
            <w:tcW w:type="dxa" w:w="5616"/>
          </w:tcPr>
          <w:p>
            <w:pPr>
              <w:spacing w:after="40"/>
            </w:pPr>
            <w:r/>
            <w:r>
              <w:rPr>
                <w:rFonts w:ascii="Calibri" w:hAnsi="Calibri"/>
                <w:color w:val="565656"/>
                <w:sz w:val="19"/>
              </w:rPr>
              <w:t>[NONE / ₹AMOUNT]</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I understand that no instalment will be more than half of my wages for that month, and that if I leave before the advance is repaid, the balance will be settled as the approval says.</w:t>
      </w:r>
    </w:p>
    <w:p>
      <w:pPr>
        <w:keepNext w:val="0"/>
        <w:spacing w:after="100" w:before="0"/>
      </w:pPr>
      <w:r>
        <w:rPr>
          <w:rFonts w:ascii="Calibri" w:hAnsi="Calibri"/>
          <w:b w:val="0"/>
          <w:i w:val="0"/>
          <w:color w:val="1D1D1D"/>
          <w:sz w:val="20"/>
        </w:rPr>
        <w:t>Signature: ____________________     Date: [DD-MMM-YYYY]</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Received by HR on [DD-MMM-YYYY]</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02  ·  APPROVAL AND RECOVERY SCHEDULE</w:t>
      </w:r>
    </w:p>
    <w:p>
      <w:pPr>
        <w:keepNext w:val="0"/>
        <w:spacing w:after="120" w:before="0"/>
        <w:ind w:left="144"/>
        <w:shd w:val="clear" w:fill="F4FAFE"/>
      </w:pPr>
      <w:r>
        <w:rPr>
          <w:rFonts w:ascii="Calibri" w:hAnsi="Calibri"/>
          <w:b w:val="0"/>
          <w:i/>
          <w:color w:val="565656"/>
          <w:sz w:val="18"/>
        </w:rPr>
        <w:t>Note for HR, delete before sending: For HR. Fill the sanctioned amount and the schedule, and check every month's instalment against the fifty per cent limit before you sign.</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[EMPLOYEE NAME], [DESIGNATION], Employee Code [CODE]</w:t>
      </w:r>
    </w:p>
    <w:p>
      <w:pPr>
        <w:keepNext w:val="0"/>
        <w:spacing w:after="100" w:before="0"/>
      </w:pPr>
      <w:r>
        <w:rPr>
          <w:rFonts w:ascii="Calibri" w:hAnsi="Calibri"/>
          <w:b w:val="0"/>
          <w:i w:val="0"/>
          <w:color w:val="1D1D1D"/>
          <w:sz w:val="20"/>
        </w:rPr>
        <w:t>Subject: Festival advance approved</w:t>
      </w:r>
    </w:p>
    <w:p>
      <w:pPr>
        <w:keepNext w:val="0"/>
        <w:spacing w:after="100" w:before="0"/>
      </w:pPr>
      <w:r>
        <w:rPr>
          <w:rFonts w:ascii="Calibri" w:hAnsi="Calibri"/>
          <w:b w:val="0"/>
          <w:i w:val="0"/>
          <w:color w:val="1D1D1D"/>
          <w:sz w:val="20"/>
        </w:rPr>
        <w:t>Dear [FIRST NAME],</w:t>
      </w:r>
    </w:p>
    <w:p>
      <w:pPr>
        <w:keepNext w:val="0"/>
        <w:spacing w:after="100" w:before="0"/>
      </w:pPr>
      <w:r>
        <w:rPr>
          <w:rFonts w:ascii="Calibri" w:hAnsi="Calibri"/>
          <w:b w:val="0"/>
          <w:i w:val="0"/>
          <w:color w:val="1D1D1D"/>
          <w:sz w:val="20"/>
        </w:rPr>
        <w:t>Your application dated [DD-MMM-YYYY] is approved. The advance will be credited to your bank account on [DD-MMM-YYYY] and recovered from your wages as below.</w:t>
      </w:r>
    </w:p>
    <w:tbl>
      <w:tblPr>
        <w:tblStyle w:val="TableGrid"/>
        <w:tblW w:type="auto" w:w="0"/>
        <w:tblLook w:firstColumn="1" w:firstRow="1" w:lastColumn="0" w:lastRow="0" w:noHBand="0" w:noVBand="1" w:val="04A0"/>
      </w:tblPr>
      <w:tblGrid>
        <w:gridCol w:w="4824"/>
        <w:gridCol w:w="4824"/>
      </w:tblGrid>
      <w:tr>
        <w:tc>
          <w:tcPr>
            <w:tcW w:type="dxa" w:w="3744"/>
          </w:tcPr>
          <w:p>
            <w:pPr>
              <w:spacing w:after="40"/>
              <w:shd w:val="clear" w:fill="E8F4FC"/>
            </w:pPr>
            <w:r/>
            <w:r>
              <w:rPr>
                <w:rFonts w:ascii="Calibri" w:hAnsi="Calibri"/>
                <w:b/>
                <w:color w:val="0069A4"/>
                <w:sz w:val="19"/>
              </w:rPr>
              <w:t>Item</w:t>
            </w:r>
          </w:p>
        </w:tc>
        <w:tc>
          <w:tcPr>
            <w:tcW w:type="dxa" w:w="5616"/>
          </w:tcPr>
          <w:p>
            <w:pPr>
              <w:spacing w:after="40"/>
              <w:shd w:val="clear" w:fill="E8F4FC"/>
            </w:pPr>
            <w:r/>
            <w:r>
              <w:rPr>
                <w:rFonts w:ascii="Calibri" w:hAnsi="Calibri"/>
                <w:b/>
                <w:color w:val="0069A4"/>
                <w:sz w:val="19"/>
              </w:rPr>
              <w:t>Detail</w:t>
            </w:r>
          </w:p>
        </w:tc>
      </w:tr>
      <w:tr>
        <w:tc>
          <w:tcPr>
            <w:tcW w:type="dxa" w:w="3744"/>
          </w:tcPr>
          <w:p>
            <w:pPr>
              <w:spacing w:after="40"/>
            </w:pPr>
            <w:r/>
            <w:r>
              <w:rPr>
                <w:rFonts w:ascii="Calibri" w:hAnsi="Calibri"/>
                <w:color w:val="565656"/>
                <w:sz w:val="19"/>
              </w:rPr>
              <w:t>Amount sanctioned</w:t>
            </w:r>
          </w:p>
        </w:tc>
        <w:tc>
          <w:tcPr>
            <w:tcW w:type="dxa" w:w="5616"/>
          </w:tcPr>
          <w:p>
            <w:pPr>
              <w:spacing w:after="40"/>
            </w:pPr>
            <w:r/>
            <w:r>
              <w:rPr>
                <w:rFonts w:ascii="Calibri" w:hAnsi="Calibri"/>
                <w:color w:val="565656"/>
                <w:sz w:val="19"/>
              </w:rPr>
              <w:t>₹[AMOUNT SANCTIONED]</w:t>
            </w:r>
          </w:p>
        </w:tc>
      </w:tr>
      <w:tr>
        <w:tc>
          <w:tcPr>
            <w:tcW w:type="dxa" w:w="3744"/>
          </w:tcPr>
          <w:p>
            <w:pPr>
              <w:spacing w:after="40"/>
            </w:pPr>
            <w:r/>
            <w:r>
              <w:rPr>
                <w:rFonts w:ascii="Calibri" w:hAnsi="Calibri"/>
                <w:color w:val="565656"/>
                <w:sz w:val="19"/>
              </w:rPr>
              <w:t>Interest</w:t>
            </w:r>
          </w:p>
        </w:tc>
        <w:tc>
          <w:tcPr>
            <w:tcW w:type="dxa" w:w="5616"/>
          </w:tcPr>
          <w:p>
            <w:pPr>
              <w:spacing w:after="40"/>
            </w:pPr>
            <w:r/>
            <w:r>
              <w:rPr>
                <w:rFonts w:ascii="Calibri" w:hAnsi="Calibri"/>
                <w:color w:val="565656"/>
                <w:sz w:val="19"/>
              </w:rPr>
              <w:t>[NONE / RATE]</w:t>
            </w:r>
          </w:p>
        </w:tc>
      </w:tr>
      <w:tr>
        <w:tc>
          <w:tcPr>
            <w:tcW w:type="dxa" w:w="3744"/>
          </w:tcPr>
          <w:p>
            <w:pPr>
              <w:spacing w:after="40"/>
            </w:pPr>
            <w:r/>
            <w:r>
              <w:rPr>
                <w:rFonts w:ascii="Calibri" w:hAnsi="Calibri"/>
                <w:color w:val="565656"/>
                <w:sz w:val="19"/>
              </w:rPr>
              <w:t>Instalments</w:t>
            </w:r>
          </w:p>
        </w:tc>
        <w:tc>
          <w:tcPr>
            <w:tcW w:type="dxa" w:w="5616"/>
          </w:tcPr>
          <w:p>
            <w:pPr>
              <w:spacing w:after="40"/>
            </w:pPr>
            <w:r/>
            <w:r>
              <w:rPr>
                <w:rFonts w:ascii="Calibri" w:hAnsi="Calibri"/>
                <w:color w:val="565656"/>
                <w:sz w:val="19"/>
              </w:rPr>
              <w:t>[NUMBER] of ₹[INSTALMENT] each</w:t>
            </w:r>
          </w:p>
        </w:tc>
      </w:tr>
      <w:tr>
        <w:tc>
          <w:tcPr>
            <w:tcW w:type="dxa" w:w="3744"/>
          </w:tcPr>
          <w:p>
            <w:pPr>
              <w:spacing w:after="40"/>
            </w:pPr>
            <w:r/>
            <w:r>
              <w:rPr>
                <w:rFonts w:ascii="Calibri" w:hAnsi="Calibri"/>
                <w:color w:val="565656"/>
                <w:sz w:val="19"/>
              </w:rPr>
              <w:t>Recovered from wages for</w:t>
            </w:r>
          </w:p>
        </w:tc>
        <w:tc>
          <w:tcPr>
            <w:tcW w:type="dxa" w:w="5616"/>
          </w:tcPr>
          <w:p>
            <w:pPr>
              <w:spacing w:after="40"/>
            </w:pPr>
            <w:r/>
            <w:r>
              <w:rPr>
                <w:rFonts w:ascii="Calibri" w:hAnsi="Calibri"/>
                <w:color w:val="565656"/>
                <w:sz w:val="19"/>
              </w:rPr>
              <w:t>[MONTH YEAR] to [MONTH YEAR]</w:t>
            </w:r>
          </w:p>
        </w:tc>
      </w:tr>
      <w:tr>
        <w:tc>
          <w:tcPr>
            <w:tcW w:type="dxa" w:w="3744"/>
          </w:tcPr>
          <w:p>
            <w:pPr>
              <w:spacing w:after="40"/>
            </w:pPr>
            <w:r/>
            <w:r>
              <w:rPr>
                <w:rFonts w:ascii="Calibri" w:hAnsi="Calibri"/>
                <w:color w:val="565656"/>
                <w:sz w:val="19"/>
              </w:rPr>
              <w:t>Approved by</w:t>
            </w:r>
          </w:p>
        </w:tc>
        <w:tc>
          <w:tcPr>
            <w:tcW w:type="dxa" w:w="5616"/>
          </w:tcPr>
          <w:p>
            <w:pPr>
              <w:spacing w:after="40"/>
            </w:pPr>
            <w:r/>
            <w:r>
              <w:rPr>
                <w:rFonts w:ascii="Calibri" w:hAnsi="Calibri"/>
                <w:color w:val="565656"/>
                <w:sz w:val="19"/>
              </w:rPr>
              <w:t>[NAME], [DESIGNATION]</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No instalment will be more than half of your wages for that month. If you leave before it is repaid, [the balance will be recovered from your final wages within that limit, and any amount left will be settled with you separately / the balance will be written off].</w:t>
      </w:r>
    </w:p>
    <w:p>
      <w:pPr>
        <w:keepNext w:val="0"/>
        <w:spacing w:after="100" w:before="0"/>
      </w:pPr>
      <w:r>
        <w:rPr>
          <w:rFonts w:ascii="Calibri" w:hAnsi="Calibri"/>
          <w:b w:val="0"/>
          <w:i w:val="0"/>
          <w:color w:val="1D1D1D"/>
          <w:sz w:val="20"/>
        </w:rPr>
        <w:t>This advance is recovered from wages. It is not an advance of your statutory bonus and does not reduce it.</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03  ·  FESTIVAL ADVANCE POLICY CLAUSE</w:t>
      </w:r>
    </w:p>
    <w:p>
      <w:pPr>
        <w:keepNext w:val="0"/>
        <w:spacing w:after="120" w:before="0"/>
        <w:ind w:left="144"/>
        <w:shd w:val="clear" w:fill="F4FAFE"/>
      </w:pPr>
      <w:r>
        <w:rPr>
          <w:rFonts w:ascii="Calibri" w:hAnsi="Calibri"/>
          <w:b w:val="0"/>
          <w:i/>
          <w:color w:val="565656"/>
          <w:sz w:val="18"/>
        </w:rPr>
        <w:t>Note for HR, delete before sending: For your HR policy or appointment letter terms. Every limit in it is your choice; no law sets one.</w:t>
      </w:r>
    </w:p>
    <w:p>
      <w:pPr>
        <w:keepNext w:val="0"/>
        <w:spacing w:after="120" w:before="0"/>
        <w:ind w:left="144"/>
      </w:pPr>
      <w:r>
        <w:rPr>
          <w:rFonts w:ascii="Calibri" w:hAnsi="Calibri"/>
          <w:b w:val="0"/>
          <w:i/>
          <w:color w:val="565656"/>
          <w:sz w:val="16"/>
        </w:rPr>
        <w:t>The letter starts below.</w:t>
      </w:r>
    </w:p>
    <w:p>
      <w:pPr>
        <w:keepNext w:val="0"/>
        <w:spacing w:after="120" w:before="0"/>
      </w:pPr>
      <w:r>
        <w:rPr>
          <w:rFonts w:ascii="Calibri" w:hAnsi="Calibri"/>
          <w:b/>
          <w:i w:val="0"/>
          <w:color w:val="1D1D1D"/>
          <w:sz w:val="20"/>
        </w:rPr>
        <w:t>FESTIVAL ADVANCE</w:t>
      </w:r>
    </w:p>
    <w:p>
      <w:pPr>
        <w:keepNext w:val="0"/>
        <w:spacing w:after="120" w:before="0"/>
      </w:pPr>
      <w:r>
        <w:rPr>
          <w:rFonts w:ascii="Calibri" w:hAnsi="Calibri"/>
          <w:b w:val="0"/>
          <w:i w:val="0"/>
          <w:color w:val="1D1D1D"/>
          <w:sz w:val="20"/>
        </w:rPr>
        <w:t>1. Eligibility. An employee who has completed [NUMBER] months of service may apply for one festival advance in a [CALENDAR / FINANCIAL] year.</w:t>
      </w:r>
    </w:p>
    <w:p>
      <w:pPr>
        <w:keepNext w:val="0"/>
        <w:spacing w:after="120" w:before="0"/>
      </w:pPr>
      <w:r>
        <w:rPr>
          <w:rFonts w:ascii="Calibri" w:hAnsi="Calibri"/>
          <w:b w:val="0"/>
          <w:i w:val="0"/>
          <w:color w:val="1D1D1D"/>
          <w:sz w:val="20"/>
        </w:rPr>
        <w:t>2. Amount. Up to [NUMBER] times monthly basic pay, or ₹[AMOUNT], whichever is lower. These limits are the Company's choice.</w:t>
      </w:r>
    </w:p>
    <w:p>
      <w:pPr>
        <w:keepNext w:val="0"/>
        <w:spacing w:after="120" w:before="0"/>
      </w:pPr>
      <w:r>
        <w:rPr>
          <w:rFonts w:ascii="Calibri" w:hAnsi="Calibri"/>
          <w:b w:val="0"/>
          <w:i w:val="0"/>
          <w:color w:val="1D1D1D"/>
          <w:sz w:val="20"/>
        </w:rPr>
        <w:t>3. Recovery. In [NUMBER] equal monthly instalments from wages, starting with wages for the month after the advance is paid. No instalment, together with other deductions, will exceed half of the wages for the month.</w:t>
      </w:r>
    </w:p>
    <w:p>
      <w:pPr>
        <w:keepNext w:val="0"/>
        <w:spacing w:after="120" w:before="0"/>
      </w:pPr>
      <w:r>
        <w:rPr>
          <w:rFonts w:ascii="Calibri" w:hAnsi="Calibri"/>
          <w:b w:val="0"/>
          <w:i w:val="0"/>
          <w:color w:val="1D1D1D"/>
          <w:sz w:val="20"/>
        </w:rPr>
        <w:t>4. Leaving. If the employee leaves before the advance is repaid, the balance is recovered from final wages within the same limit, and any amount left is [settled with the employee / written off].</w:t>
      </w:r>
    </w:p>
    <w:p>
      <w:pPr>
        <w:keepNext w:val="0"/>
        <w:spacing w:after="120" w:before="0"/>
      </w:pPr>
      <w:r>
        <w:rPr>
          <w:rFonts w:ascii="Calibri" w:hAnsi="Calibri"/>
          <w:b w:val="0"/>
          <w:i w:val="0"/>
          <w:color w:val="1D1D1D"/>
          <w:sz w:val="20"/>
        </w:rPr>
        <w:t>5. Record. Every advance and recovery is entered in the register of wages and deductions.</w:t>
      </w:r>
    </w:p>
    <w:p>
      <w:pPr>
        <w:keepNext w:val="0"/>
        <w:spacing w:after="120" w:before="0"/>
      </w:pPr>
      <w:r>
        <w:rPr>
          <w:rFonts w:ascii="Calibri" w:hAnsi="Calibri"/>
          <w:b w:val="0"/>
          <w:i w:val="0"/>
          <w:color w:val="1D1D1D"/>
          <w:sz w:val="20"/>
        </w:rPr>
        <w:t>6. Change. The Company may change or withdraw this scheme after giving the notice the law requires.</w:t>
      </w:r>
    </w:p>
    <w:p>
      <w:r>
        <w:br w:type="page"/>
      </w:r>
    </w:p>
    <w:p>
      <w:pPr>
        <w:pStyle w:val="Heading1"/>
        <w:keepNext/>
        <w:spacing w:after="200" w:before="80"/>
        <w:ind w:left="115"/>
        <w:shd w:val="clear" w:fill="008CDB"/>
      </w:pPr>
      <w:r>
        <w:rPr>
          <w:rFonts w:ascii="Calibri" w:hAnsi="Calibri"/>
          <w:b/>
          <w:color w:val="FFFFFF"/>
          <w:sz w:val="22"/>
        </w:rPr>
        <w:t>4.  SIX MISTAKES</w:t>
      </w:r>
    </w:p>
    <w:p>
      <w:pPr>
        <w:pStyle w:val="Heading2"/>
        <w:keepNext/>
        <w:spacing w:after="60" w:before="160"/>
      </w:pPr>
      <w:r>
        <w:rPr>
          <w:rFonts w:ascii="Calibri" w:hAnsi="Calibri"/>
          <w:b/>
          <w:color w:val="1D1D1D"/>
          <w:sz w:val="21"/>
        </w:rPr>
        <w:t>1.  Deducting more than half the month's wages</w:t>
      </w:r>
    </w:p>
    <w:p>
      <w:pPr>
        <w:keepNext w:val="0"/>
        <w:spacing w:after="120" w:before="0"/>
      </w:pPr>
      <w:r>
        <w:rPr>
          <w:rFonts w:ascii="Calibri" w:hAnsi="Calibri"/>
          <w:b w:val="0"/>
          <w:i w:val="0"/>
          <w:color w:val="1D1D1D"/>
          <w:sz w:val="20"/>
        </w:rPr>
        <w:t>Any or all instalments in a wage period cannot exceed fifty per cent of the wages for it, and all deductions together cannot exceed fifty per cent. Spread the advance.</w:t>
      </w:r>
    </w:p>
    <w:p>
      <w:pPr>
        <w:pStyle w:val="Heading2"/>
        <w:keepNext/>
        <w:spacing w:after="60" w:before="160"/>
      </w:pPr>
      <w:r>
        <w:rPr>
          <w:rFonts w:ascii="Calibri" w:hAnsi="Calibri"/>
          <w:b/>
          <w:color w:val="1D1D1D"/>
          <w:sz w:val="21"/>
        </w:rPr>
        <w:t>2.  Treating it as an advance against bonus</w:t>
      </w:r>
    </w:p>
    <w:p>
      <w:pPr>
        <w:keepNext w:val="0"/>
        <w:spacing w:after="120" w:before="0"/>
      </w:pPr>
      <w:r>
        <w:rPr>
          <w:rFonts w:ascii="Calibri" w:hAnsi="Calibri"/>
          <w:b w:val="0"/>
          <w:i w:val="0"/>
          <w:color w:val="1D1D1D"/>
          <w:sz w:val="20"/>
        </w:rPr>
        <w:t>A festival advance is recovered from wages under section 18. An advance against bonus is adjusted against the bonus under section 37. Use one letter for one, and say which.</w:t>
      </w:r>
    </w:p>
    <w:p>
      <w:pPr>
        <w:pStyle w:val="Heading2"/>
        <w:keepNext/>
        <w:spacing w:after="60" w:before="160"/>
      </w:pPr>
      <w:r>
        <w:rPr>
          <w:rFonts w:ascii="Calibri" w:hAnsi="Calibri"/>
          <w:b/>
          <w:color w:val="1D1D1D"/>
          <w:sz w:val="21"/>
        </w:rPr>
        <w:t>3.  Recovering the whole balance from a leaver's final pay</w:t>
      </w:r>
    </w:p>
    <w:p>
      <w:pPr>
        <w:keepNext w:val="0"/>
        <w:spacing w:after="120" w:before="0"/>
      </w:pPr>
      <w:r>
        <w:rPr>
          <w:rFonts w:ascii="Calibri" w:hAnsi="Calibri"/>
          <w:b w:val="0"/>
          <w:i w:val="0"/>
          <w:color w:val="1D1D1D"/>
          <w:sz w:val="20"/>
        </w:rPr>
        <w:t>Final wages are due within two working days, and the fifty per cent limit still applies to that wage period. Any balance beyond it is a debt to settle with the employee.</w:t>
      </w:r>
    </w:p>
    <w:p>
      <w:pPr>
        <w:pStyle w:val="Heading2"/>
        <w:keepNext/>
        <w:spacing w:after="60" w:before="160"/>
      </w:pPr>
      <w:r>
        <w:rPr>
          <w:rFonts w:ascii="Calibri" w:hAnsi="Calibri"/>
          <w:b/>
          <w:color w:val="1D1D1D"/>
          <w:sz w:val="21"/>
        </w:rPr>
        <w:t>4.  Printing a legal maximum</w:t>
      </w:r>
    </w:p>
    <w:p>
      <w:pPr>
        <w:keepNext w:val="0"/>
        <w:spacing w:after="120" w:before="0"/>
      </w:pPr>
      <w:r>
        <w:rPr>
          <w:rFonts w:ascii="Calibri" w:hAnsi="Calibri"/>
          <w:b w:val="0"/>
          <w:i w:val="0"/>
          <w:color w:val="1D1D1D"/>
          <w:sz w:val="20"/>
        </w:rPr>
        <w:t>No provision read sets a maximum festival advance. The limit is your policy; write it as yours.</w:t>
      </w:r>
    </w:p>
    <w:p>
      <w:pPr>
        <w:pStyle w:val="Heading2"/>
        <w:keepNext/>
        <w:spacing w:after="60" w:before="160"/>
      </w:pPr>
      <w:r>
        <w:rPr>
          <w:rFonts w:ascii="Calibri" w:hAnsi="Calibri"/>
          <w:b/>
          <w:color w:val="1D1D1D"/>
          <w:sz w:val="21"/>
        </w:rPr>
        <w:t>5.  Not recording the recovery</w:t>
      </w:r>
    </w:p>
    <w:p>
      <w:pPr>
        <w:keepNext w:val="0"/>
        <w:spacing w:after="120" w:before="0"/>
      </w:pPr>
      <w:r>
        <w:rPr>
          <w:rFonts w:ascii="Calibri" w:hAnsi="Calibri"/>
          <w:b w:val="0"/>
          <w:i w:val="0"/>
          <w:color w:val="1D1D1D"/>
          <w:sz w:val="20"/>
        </w:rPr>
        <w:t>In the Central sphere, recoveries are recorded in the register in Form IV. Your State's rules may name another register.</w:t>
      </w:r>
    </w:p>
    <w:p>
      <w:pPr>
        <w:pStyle w:val="Heading2"/>
        <w:keepNext/>
        <w:spacing w:after="60" w:before="160"/>
      </w:pPr>
      <w:r>
        <w:rPr>
          <w:rFonts w:ascii="Calibri" w:hAnsi="Calibri"/>
          <w:b/>
          <w:color w:val="1D1D1D"/>
          <w:sz w:val="21"/>
        </w:rPr>
        <w:t>6.  Stopping a customary scheme without notice</w:t>
      </w:r>
    </w:p>
    <w:p>
      <w:pPr>
        <w:keepNext w:val="0"/>
        <w:spacing w:after="120" w:before="0"/>
      </w:pPr>
      <w:r>
        <w:rPr>
          <w:rFonts w:ascii="Calibri" w:hAnsi="Calibri"/>
          <w:b w:val="0"/>
          <w:i w:val="0"/>
          <w:color w:val="1D1D1D"/>
          <w:sz w:val="20"/>
        </w:rPr>
        <w:t>Withdrawing or changing a festival advance workers have had every year is a change in usage. Workers get twenty-one days' notice first.</w:t>
      </w:r>
    </w:p>
    <w:p>
      <w:r>
        <w:br w:type="page"/>
      </w:r>
    </w:p>
    <w:p>
      <w:pPr>
        <w:pStyle w:val="Heading1"/>
        <w:keepNext/>
        <w:spacing w:after="200" w:before="80"/>
        <w:ind w:left="115"/>
        <w:shd w:val="clear" w:fill="008CDB"/>
      </w:pPr>
      <w:r>
        <w:rPr>
          <w:rFonts w:ascii="Calibri" w:hAnsi="Calibri"/>
          <w:b/>
          <w:color w:val="FFFFFF"/>
          <w:sz w:val="22"/>
        </w:rPr>
        <w:t>5.  ELEVEN CITATIONS</w:t>
      </w:r>
    </w:p>
    <w:p>
      <w:pPr>
        <w:keepNext w:val="0"/>
        <w:spacing w:after="160" w:before="0"/>
      </w:pPr>
      <w:r>
        <w:rPr>
          <w:rFonts w:ascii="Calibri" w:hAnsi="Calibri"/>
          <w:b w:val="0"/>
          <w:i w:val="0"/>
          <w:color w:val="565656"/>
          <w:sz w:val="20"/>
        </w:rPr>
        <w:t>Each read at its own provision in the official text.</w:t>
      </w:r>
    </w:p>
    <w:tbl>
      <w:tblPr>
        <w:tblStyle w:val="TableGrid"/>
        <w:tblW w:type="auto" w:w="0"/>
        <w:tblLook w:firstColumn="1" w:firstRow="1" w:lastColumn="0" w:lastRow="0" w:noHBand="0" w:noVBand="1" w:val="04A0"/>
      </w:tblPr>
      <w:tblGrid>
        <w:gridCol w:w="4824"/>
        <w:gridCol w:w="4824"/>
      </w:tblGrid>
      <w:tr>
        <w:tc>
          <w:tcPr>
            <w:tcW w:type="dxa" w:w="4032"/>
          </w:tcPr>
          <w:p>
            <w:pPr>
              <w:spacing w:after="40"/>
              <w:shd w:val="clear" w:fill="E8F4FC"/>
            </w:pPr>
            <w:r/>
            <w:r>
              <w:rPr>
                <w:rFonts w:ascii="Calibri" w:hAnsi="Calibri"/>
                <w:b/>
                <w:color w:val="0069A4"/>
                <w:sz w:val="18"/>
              </w:rPr>
              <w:t>Provision</w:t>
            </w:r>
          </w:p>
        </w:tc>
        <w:tc>
          <w:tcPr>
            <w:tcW w:type="dxa" w:w="5616"/>
          </w:tcPr>
          <w:p>
            <w:pPr>
              <w:spacing w:after="40"/>
              <w:shd w:val="clear" w:fill="E8F4FC"/>
            </w:pPr>
            <w:r/>
            <w:r>
              <w:rPr>
                <w:rFonts w:ascii="Calibri" w:hAnsi="Calibri"/>
                <w:b/>
                <w:color w:val="0069A4"/>
                <w:sz w:val="18"/>
              </w:rPr>
              <w:t>What it decides</w:t>
            </w:r>
          </w:p>
        </w:tc>
      </w:tr>
      <w:tr>
        <w:tc>
          <w:tcPr>
            <w:tcW w:type="dxa" w:w="4032"/>
          </w:tcPr>
          <w:p>
            <w:pPr>
              <w:spacing w:after="40"/>
            </w:pPr>
            <w:r/>
            <w:r>
              <w:rPr>
                <w:rFonts w:ascii="Calibri" w:hAnsi="Calibri"/>
                <w:color w:val="565656"/>
                <w:sz w:val="18"/>
              </w:rPr>
              <w:t>Code on Wages, 2019, s.18(2)(f)(i)</w:t>
            </w:r>
          </w:p>
        </w:tc>
        <w:tc>
          <w:tcPr>
            <w:tcW w:type="dxa" w:w="5616"/>
          </w:tcPr>
          <w:p>
            <w:pPr>
              <w:spacing w:after="40"/>
            </w:pPr>
            <w:r/>
            <w:r>
              <w:rPr>
                <w:rFonts w:ascii="Calibri" w:hAnsi="Calibri"/>
                <w:color w:val="565656"/>
                <w:sz w:val="18"/>
              </w:rPr>
              <w:t>An advance, and interest on it, may be recovered from wages</w:t>
            </w:r>
          </w:p>
        </w:tc>
      </w:tr>
      <w:tr>
        <w:tc>
          <w:tcPr>
            <w:tcW w:type="dxa" w:w="4032"/>
          </w:tcPr>
          <w:p>
            <w:pPr>
              <w:spacing w:after="40"/>
            </w:pPr>
            <w:r/>
            <w:r>
              <w:rPr>
                <w:rFonts w:ascii="Calibri" w:hAnsi="Calibri"/>
                <w:color w:val="565656"/>
                <w:sz w:val="18"/>
              </w:rPr>
              <w:t>Code on Wages, 2019, s.18(3)</w:t>
            </w:r>
          </w:p>
        </w:tc>
        <w:tc>
          <w:tcPr>
            <w:tcW w:type="dxa" w:w="5616"/>
          </w:tcPr>
          <w:p>
            <w:pPr>
              <w:spacing w:after="40"/>
            </w:pPr>
            <w:r/>
            <w:r>
              <w:rPr>
                <w:rFonts w:ascii="Calibri" w:hAnsi="Calibri"/>
                <w:color w:val="565656"/>
                <w:sz w:val="18"/>
              </w:rPr>
              <w:t>Total deductions in a wage period: not more than fifty per cent</w:t>
            </w:r>
          </w:p>
        </w:tc>
      </w:tr>
      <w:tr>
        <w:tc>
          <w:tcPr>
            <w:tcW w:type="dxa" w:w="4032"/>
          </w:tcPr>
          <w:p>
            <w:pPr>
              <w:spacing w:after="40"/>
            </w:pPr>
            <w:r/>
            <w:r>
              <w:rPr>
                <w:rFonts w:ascii="Calibri" w:hAnsi="Calibri"/>
                <w:color w:val="565656"/>
                <w:sz w:val="18"/>
              </w:rPr>
              <w:t>Code on Wages, 2019, s.18(4)</w:t>
            </w:r>
          </w:p>
        </w:tc>
        <w:tc>
          <w:tcPr>
            <w:tcW w:type="dxa" w:w="5616"/>
          </w:tcPr>
          <w:p>
            <w:pPr>
              <w:spacing w:after="40"/>
            </w:pPr>
            <w:r/>
            <w:r>
              <w:rPr>
                <w:rFonts w:ascii="Calibri" w:hAnsi="Calibri"/>
                <w:color w:val="565656"/>
                <w:sz w:val="18"/>
              </w:rPr>
              <w:t>An excess is recovered as prescribed</w:t>
            </w:r>
          </w:p>
        </w:tc>
      </w:tr>
      <w:tr>
        <w:tc>
          <w:tcPr>
            <w:tcW w:type="dxa" w:w="4032"/>
          </w:tcPr>
          <w:p>
            <w:pPr>
              <w:spacing w:after="40"/>
            </w:pPr>
            <w:r/>
            <w:r>
              <w:rPr>
                <w:rFonts w:ascii="Calibri" w:hAnsi="Calibri"/>
                <w:color w:val="565656"/>
                <w:sz w:val="18"/>
              </w:rPr>
              <w:t>Code on Wages, 2019, s.23(b)</w:t>
            </w:r>
          </w:p>
        </w:tc>
        <w:tc>
          <w:tcPr>
            <w:tcW w:type="dxa" w:w="5616"/>
          </w:tcPr>
          <w:p>
            <w:pPr>
              <w:spacing w:after="40"/>
            </w:pPr>
            <w:r/>
            <w:r>
              <w:rPr>
                <w:rFonts w:ascii="Calibri" w:hAnsi="Calibri"/>
                <w:color w:val="565656"/>
                <w:sz w:val="18"/>
              </w:rPr>
              <w:t>Recovery of an advance after employment began: prescribed conditions</w:t>
            </w:r>
          </w:p>
        </w:tc>
      </w:tr>
      <w:tr>
        <w:tc>
          <w:tcPr>
            <w:tcW w:type="dxa" w:w="4032"/>
          </w:tcPr>
          <w:p>
            <w:pPr>
              <w:spacing w:after="40"/>
            </w:pPr>
            <w:r/>
            <w:r>
              <w:rPr>
                <w:rFonts w:ascii="Calibri" w:hAnsi="Calibri"/>
                <w:color w:val="565656"/>
                <w:sz w:val="18"/>
              </w:rPr>
              <w:t>Code on Wages, 2019, s.17(2)</w:t>
            </w:r>
          </w:p>
        </w:tc>
        <w:tc>
          <w:tcPr>
            <w:tcW w:type="dxa" w:w="5616"/>
          </w:tcPr>
          <w:p>
            <w:pPr>
              <w:spacing w:after="40"/>
            </w:pPr>
            <w:r/>
            <w:r>
              <w:rPr>
                <w:rFonts w:ascii="Calibri" w:hAnsi="Calibri"/>
                <w:color w:val="565656"/>
                <w:sz w:val="18"/>
              </w:rPr>
              <w:t>Wages on resignation, removal, dismissal or retrenchment: within two working days</w:t>
            </w:r>
          </w:p>
        </w:tc>
      </w:tr>
      <w:tr>
        <w:tc>
          <w:tcPr>
            <w:tcW w:type="dxa" w:w="4032"/>
          </w:tcPr>
          <w:p>
            <w:pPr>
              <w:spacing w:after="40"/>
            </w:pPr>
            <w:r/>
            <w:r>
              <w:rPr>
                <w:rFonts w:ascii="Calibri" w:hAnsi="Calibri"/>
                <w:color w:val="565656"/>
                <w:sz w:val="18"/>
              </w:rPr>
              <w:t>Code on Wages, 2019, s.37</w:t>
            </w:r>
          </w:p>
        </w:tc>
        <w:tc>
          <w:tcPr>
            <w:tcW w:type="dxa" w:w="5616"/>
          </w:tcPr>
          <w:p>
            <w:pPr>
              <w:spacing w:after="40"/>
            </w:pPr>
            <w:r/>
            <w:r>
              <w:rPr>
                <w:rFonts w:ascii="Calibri" w:hAnsi="Calibri"/>
                <w:color w:val="565656"/>
                <w:sz w:val="18"/>
              </w:rPr>
              <w:t>An advance against bonus is adjusted against bonus, not wages</w:t>
            </w:r>
          </w:p>
        </w:tc>
      </w:tr>
      <w:tr>
        <w:tc>
          <w:tcPr>
            <w:tcW w:type="dxa" w:w="4032"/>
          </w:tcPr>
          <w:p>
            <w:pPr>
              <w:spacing w:after="40"/>
            </w:pPr>
            <w:r/>
            <w:r>
              <w:rPr>
                <w:rFonts w:ascii="Calibri" w:hAnsi="Calibri"/>
                <w:color w:val="565656"/>
                <w:sz w:val="18"/>
              </w:rPr>
              <w:t>Code on Wages (Central) Rules, 2026, rule 19</w:t>
            </w:r>
          </w:p>
        </w:tc>
        <w:tc>
          <w:tcPr>
            <w:tcW w:type="dxa" w:w="5616"/>
          </w:tcPr>
          <w:p>
            <w:pPr>
              <w:spacing w:after="40"/>
            </w:pPr>
            <w:r/>
            <w:r>
              <w:rPr>
                <w:rFonts w:ascii="Calibri" w:hAnsi="Calibri"/>
                <w:color w:val="565656"/>
                <w:sz w:val="18"/>
              </w:rPr>
              <w:t>Instalments set by the employer, not more than fifty per cent of wages in a wage period, recorded in Form IV</w:t>
            </w:r>
          </w:p>
        </w:tc>
      </w:tr>
      <w:tr>
        <w:tc>
          <w:tcPr>
            <w:tcW w:type="dxa" w:w="4032"/>
          </w:tcPr>
          <w:p>
            <w:pPr>
              <w:spacing w:after="40"/>
            </w:pPr>
            <w:r/>
            <w:r>
              <w:rPr>
                <w:rFonts w:ascii="Calibri" w:hAnsi="Calibri"/>
                <w:color w:val="565656"/>
                <w:sz w:val="18"/>
              </w:rPr>
              <w:t>Code on Wages (Central) Rules, 2026, rule 13</w:t>
            </w:r>
          </w:p>
        </w:tc>
        <w:tc>
          <w:tcPr>
            <w:tcW w:type="dxa" w:w="5616"/>
          </w:tcPr>
          <w:p>
            <w:pPr>
              <w:spacing w:after="40"/>
            </w:pPr>
            <w:r/>
            <w:r>
              <w:rPr>
                <w:rFonts w:ascii="Calibri" w:hAnsi="Calibri"/>
                <w:color w:val="565656"/>
                <w:sz w:val="18"/>
              </w:rPr>
              <w:t>An excess over fifty per cent carried forward</w:t>
            </w:r>
          </w:p>
        </w:tc>
      </w:tr>
      <w:tr>
        <w:tc>
          <w:tcPr>
            <w:tcW w:type="dxa" w:w="4032"/>
          </w:tcPr>
          <w:p>
            <w:pPr>
              <w:spacing w:after="40"/>
            </w:pPr>
            <w:r/>
            <w:r>
              <w:rPr>
                <w:rFonts w:ascii="Calibri" w:hAnsi="Calibri"/>
                <w:color w:val="565656"/>
                <w:sz w:val="18"/>
              </w:rPr>
              <w:t>Code on Wages (Central) Rules, 2026, rule 51 and Form IV</w:t>
            </w:r>
          </w:p>
        </w:tc>
        <w:tc>
          <w:tcPr>
            <w:tcW w:type="dxa" w:w="5616"/>
          </w:tcPr>
          <w:p>
            <w:pPr>
              <w:spacing w:after="40"/>
            </w:pPr>
            <w:r/>
            <w:r>
              <w:rPr>
                <w:rFonts w:ascii="Calibri" w:hAnsi="Calibri"/>
                <w:color w:val="565656"/>
                <w:sz w:val="18"/>
              </w:rPr>
              <w:t>The register of wages, advances and deductions</w:t>
            </w:r>
          </w:p>
        </w:tc>
      </w:tr>
      <w:tr>
        <w:tc>
          <w:tcPr>
            <w:tcW w:type="dxa" w:w="4032"/>
          </w:tcPr>
          <w:p>
            <w:pPr>
              <w:spacing w:after="40"/>
            </w:pPr>
            <w:r/>
            <w:r>
              <w:rPr>
                <w:rFonts w:ascii="Calibri" w:hAnsi="Calibri"/>
                <w:color w:val="565656"/>
                <w:sz w:val="18"/>
              </w:rPr>
              <w:t>Code on Wages, 2019, s.2(d)</w:t>
            </w:r>
          </w:p>
        </w:tc>
        <w:tc>
          <w:tcPr>
            <w:tcW w:type="dxa" w:w="5616"/>
          </w:tcPr>
          <w:p>
            <w:pPr>
              <w:spacing w:after="40"/>
            </w:pPr>
            <w:r/>
            <w:r>
              <w:rPr>
                <w:rFonts w:ascii="Calibri" w:hAnsi="Calibri"/>
                <w:color w:val="565656"/>
                <w:sz w:val="18"/>
              </w:rPr>
              <w:t>Central Rules bind the Central sphere; States make their own</w:t>
            </w:r>
          </w:p>
        </w:tc>
      </w:tr>
      <w:tr>
        <w:tc>
          <w:tcPr>
            <w:tcW w:type="dxa" w:w="4032"/>
          </w:tcPr>
          <w:p>
            <w:pPr>
              <w:spacing w:after="40"/>
            </w:pPr>
            <w:r/>
            <w:r>
              <w:rPr>
                <w:rFonts w:ascii="Calibri" w:hAnsi="Calibri"/>
                <w:color w:val="565656"/>
                <w:sz w:val="18"/>
              </w:rPr>
              <w:t>Industrial Relations Code, 2020, s.40 and Third Schedule, item 8</w:t>
            </w:r>
          </w:p>
        </w:tc>
        <w:tc>
          <w:tcPr>
            <w:tcW w:type="dxa" w:w="5616"/>
          </w:tcPr>
          <w:p>
            <w:pPr>
              <w:spacing w:after="40"/>
            </w:pPr>
            <w:r/>
            <w:r>
              <w:rPr>
                <w:rFonts w:ascii="Calibri" w:hAnsi="Calibri"/>
                <w:color w:val="565656"/>
                <w:sz w:val="18"/>
              </w:rPr>
              <w:t>Notice before withdrawing a customary concession</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7"/>
        </w:rPr>
        <w:t>Provided by Attendo for general guidance, not legal advice, reviewed 07-Oct-2026. Your State's rules and your own policy decide what applies.</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Festival Advance Application Form  ·  reviewed 07-Oct-2026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Festival Advance Application Form</dc:title>
  <dc:subject/>
  <dc:creator>Attendo</dc:creator>
  <cp:keywords/>
  <dc:description>Reviewed 07-Oct-2026.</dc:description>
  <cp:lastModifiedBy/>
  <cp:revision>1</cp:revision>
  <dcterms:created xsi:type="dcterms:W3CDTF">2013-12-23T23:15:00Z</dcterms:created>
  <dcterms:modified xsi:type="dcterms:W3CDTF">2013-12-23T23:15:00Z</dcterms:modified>
  <cp:category/>
</cp:coreProperties>
</file>