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after="40" w:before="0"/>
      </w:pPr>
      <w:r>
        <w:rPr>
          <w:rFonts w:ascii="Calibri" w:hAnsi="Calibri"/>
          <w:b/>
          <w:i w:val="0"/>
          <w:color w:val="0069A4"/>
          <w:sz w:val="18"/>
        </w:rPr>
        <w:t>Attendo (formerly Petpooja Payroll)</w:t>
      </w:r>
    </w:p>
    <w:p>
      <w:pPr>
        <w:keepNext w:val="0"/>
        <w:spacing w:after="40" w:before="0"/>
      </w:pPr>
      <w:r>
        <w:rPr>
          <w:rFonts w:ascii="Calibri" w:hAnsi="Calibri"/>
          <w:b/>
          <w:i w:val="0"/>
          <w:color w:val="1D1D1D"/>
          <w:sz w:val="40"/>
        </w:rPr>
        <w:t>Exit Interview Form &amp; Question Bank</w:t>
      </w:r>
    </w:p>
    <w:p>
      <w:pPr>
        <w:keepNext w:val="0"/>
        <w:spacing w:after="200" w:before="0"/>
      </w:pPr>
      <w:r>
        <w:rPr>
          <w:rFonts w:ascii="Calibri" w:hAnsi="Calibri"/>
          <w:b w:val="0"/>
          <w:i w:val="0"/>
          <w:color w:val="565656"/>
          <w:sz w:val="22"/>
        </w:rPr>
        <w:t>India. A form you can use on Monday, thirty questions worth asking, and the one part of this conversation that is not feedback.</w:t>
      </w:r>
    </w:p>
    <w:p>
      <w:pPr>
        <w:spacing w:after="160" w:before="160"/>
        <w:pBdr>
          <w:bottom w:val="single" w:sz="6" w:space="1" w:color="D1EAF9"/>
        </w:pBdr>
      </w:pPr>
    </w:p>
    <w:p>
      <w:pPr>
        <w:keepNext w:val="0"/>
        <w:spacing w:after="160" w:before="0"/>
      </w:pPr>
      <w:r>
        <w:rPr>
          <w:rFonts w:ascii="Calibri" w:hAnsi="Calibri"/>
          <w:b w:val="0"/>
          <w:i w:val="0"/>
          <w:color w:val="565656"/>
          <w:sz w:val="20"/>
        </w:rPr>
        <w:t>An exit interview is the last structured conversation you will ever have with somebody, and it is where things get said that were never said before. Most of that is feedback. Some of it stops being feedback the moment it is spoken, and the form most companies use funnels it into an attrition spreadsheet with a manager's name on it. Section 4 is about that.</w:t>
      </w:r>
    </w:p>
    <w:p>
      <w:pPr>
        <w:spacing w:after="60"/>
      </w:pPr>
      <w:r>
        <w:rPr>
          <w:rFonts w:ascii="Calibri" w:hAnsi="Calibri"/>
          <w:b/>
          <w:color w:val="0069A4"/>
          <w:sz w:val="19"/>
        </w:rPr>
        <w:t xml:space="preserve">What is in this file  </w:t>
      </w:r>
      <w:r>
        <w:rPr>
          <w:rFonts w:ascii="Calibri" w:hAnsi="Calibri"/>
          <w:color w:val="565656"/>
          <w:sz w:val="19"/>
        </w:rPr>
        <w:t>A ready-to-use form, thirty questions with notes on what each one actually produces, seven things not to ask, and ten checks.</w:t>
      </w:r>
    </w:p>
    <w:p>
      <w:pPr>
        <w:spacing w:after="60"/>
      </w:pPr>
      <w:r>
        <w:rPr>
          <w:rFonts w:ascii="Calibri" w:hAnsi="Calibri"/>
          <w:b/>
          <w:color w:val="0069A4"/>
          <w:sz w:val="19"/>
        </w:rPr>
        <w:t xml:space="preserve">Placeholders  </w:t>
      </w:r>
      <w:r>
        <w:rPr>
          <w:rFonts w:ascii="Calibri" w:hAnsi="Calibri"/>
          <w:color w:val="565656"/>
          <w:sz w:val="19"/>
        </w:rPr>
        <w:t>[IN CAPITALS, IN SQUARE BRACKETS]. Each one names itself, so Find and Replace is safe.</w:t>
      </w:r>
    </w:p>
    <w:p>
      <w:pPr>
        <w:spacing w:after="60"/>
      </w:pPr>
      <w:r>
        <w:rPr>
          <w:rFonts w:ascii="Calibri" w:hAnsi="Calibri"/>
          <w:b/>
          <w:color w:val="0069A4"/>
          <w:sz w:val="19"/>
        </w:rPr>
        <w:t xml:space="preserve">Reviewed  </w:t>
      </w:r>
      <w:r>
        <w:rPr>
          <w:rFonts w:ascii="Calibri" w:hAnsi="Calibri"/>
          <w:color w:val="565656"/>
          <w:sz w:val="19"/>
        </w:rPr>
        <w:t>17-Sep-2026. The statutes named in sections 4 and 5 are the ones to re-read before you rely on them.</w:t>
      </w:r>
    </w:p>
    <w:p>
      <w:pPr>
        <w:spacing w:after="200"/>
      </w:pPr>
      <w:r>
        <w:rPr>
          <w:rFonts w:ascii="Calibri" w:hAnsi="Calibri"/>
          <w:b/>
          <w:color w:val="0069A4"/>
          <w:sz w:val="19"/>
        </w:rPr>
        <w:t xml:space="preserve">Not legal advice  </w:t>
      </w:r>
      <w:r>
        <w:rPr>
          <w:rFonts w:ascii="Calibri" w:hAnsi="Calibri"/>
          <w:color w:val="565656"/>
          <w:sz w:val="19"/>
        </w:rPr>
        <w:t>General guidance. No Indian statute requires an exit interview at all, and running one discharges no duty. Confirm anything contentious with your adviser.</w:t>
      </w:r>
    </w:p>
    <w:p>
      <w:pPr>
        <w:keepNext/>
        <w:spacing w:after="80" w:before="0"/>
      </w:pPr>
      <w:r>
        <w:rPr>
          <w:rFonts w:ascii="Calibri" w:hAnsi="Calibri"/>
          <w:b/>
          <w:i w:val="0"/>
          <w:color w:val="1D1D1D"/>
          <w:sz w:val="22"/>
        </w:rPr>
        <w:t>Where things are</w:t>
      </w:r>
    </w:p>
    <w:p>
      <w:pPr>
        <w:keepNext w:val="0"/>
        <w:spacing w:after="100" w:before="0"/>
      </w:pPr>
      <w:r>
        <w:rPr>
          <w:rFonts w:ascii="Calibri" w:hAnsi="Calibri"/>
          <w:b w:val="0"/>
          <w:i/>
          <w:color w:val="565656"/>
          <w:sz w:val="18"/>
        </w:rPr>
        <w:t>Every heading below is in Word's navigation pane, so you can jump rather than scroll. View, then tick Navigation Pane.</w:t>
      </w:r>
    </w:p>
    <w:p>
      <w:pPr>
        <w:spacing w:after="40"/>
      </w:pPr>
      <w:r>
        <w:rPr>
          <w:rFonts w:ascii="Calibri" w:hAnsi="Calibri"/>
          <w:b/>
          <w:color w:val="0069A4"/>
          <w:sz w:val="19"/>
        </w:rPr>
        <w:t xml:space="preserve">Section 1  </w:t>
      </w:r>
      <w:r>
        <w:rPr>
          <w:rFonts w:ascii="Calibri" w:hAnsi="Calibri"/>
          <w:color w:val="565656"/>
          <w:sz w:val="19"/>
        </w:rPr>
        <w:t>How to run one. Who conducts it, when, and the exits this is not for.</w:t>
      </w:r>
    </w:p>
    <w:p>
      <w:pPr>
        <w:spacing w:after="40"/>
      </w:pPr>
      <w:r>
        <w:rPr>
          <w:rFonts w:ascii="Calibri" w:hAnsi="Calibri"/>
          <w:b/>
          <w:color w:val="0069A4"/>
          <w:sz w:val="19"/>
        </w:rPr>
        <w:t xml:space="preserve">Section 2  </w:t>
      </w:r>
      <w:r>
        <w:rPr>
          <w:rFonts w:ascii="Calibri" w:hAnsi="Calibri"/>
          <w:color w:val="565656"/>
          <w:sz w:val="19"/>
        </w:rPr>
        <w:t>THE FORM. Parts A to D, ready to print or fill on screen.</w:t>
      </w:r>
    </w:p>
    <w:p>
      <w:pPr>
        <w:spacing w:after="40"/>
      </w:pPr>
      <w:r>
        <w:rPr>
          <w:rFonts w:ascii="Calibri" w:hAnsi="Calibri"/>
          <w:b/>
          <w:color w:val="0069A4"/>
          <w:sz w:val="19"/>
        </w:rPr>
        <w:t xml:space="preserve">Section 3  </w:t>
      </w:r>
      <w:r>
        <w:rPr>
          <w:rFonts w:ascii="Calibri" w:hAnsi="Calibri"/>
          <w:color w:val="565656"/>
          <w:sz w:val="19"/>
        </w:rPr>
        <w:t>The question bank, thirty questions grouped by what you are trying to learn, each with a note on what it actually produces.</w:t>
      </w:r>
    </w:p>
    <w:p>
      <w:pPr>
        <w:spacing w:after="40"/>
      </w:pPr>
      <w:r>
        <w:rPr>
          <w:rFonts w:ascii="Calibri" w:hAnsi="Calibri"/>
          <w:b/>
          <w:color w:val="0069A4"/>
          <w:sz w:val="19"/>
        </w:rPr>
        <w:t xml:space="preserve">Section 4  </w:t>
      </w:r>
      <w:r>
        <w:rPr>
          <w:rFonts w:ascii="Calibri" w:hAnsi="Calibri"/>
          <w:color w:val="565656"/>
          <w:sz w:val="19"/>
        </w:rPr>
        <w:t>The three things that leave the exit process, and where each one goes instead.</w:t>
      </w:r>
    </w:p>
    <w:p>
      <w:pPr>
        <w:spacing w:after="40"/>
      </w:pPr>
      <w:r>
        <w:rPr>
          <w:rFonts w:ascii="Calibri" w:hAnsi="Calibri"/>
          <w:b/>
          <w:color w:val="0069A4"/>
          <w:sz w:val="19"/>
        </w:rPr>
        <w:t xml:space="preserve">Section 5  </w:t>
      </w:r>
      <w:r>
        <w:rPr>
          <w:rFonts w:ascii="Calibri" w:hAnsi="Calibri"/>
          <w:color w:val="565656"/>
          <w:sz w:val="19"/>
        </w:rPr>
        <w:t>The two clocks the interview sits inside, and the threshold one of them turns on.</w:t>
      </w:r>
    </w:p>
    <w:p>
      <w:pPr>
        <w:spacing w:after="40"/>
      </w:pPr>
      <w:r>
        <w:rPr>
          <w:rFonts w:ascii="Calibri" w:hAnsi="Calibri"/>
          <w:b/>
          <w:color w:val="0069A4"/>
          <w:sz w:val="19"/>
        </w:rPr>
        <w:t xml:space="preserve">Section 6  </w:t>
      </w:r>
      <w:r>
        <w:rPr>
          <w:rFonts w:ascii="Calibri" w:hAnsi="Calibri"/>
          <w:color w:val="565656"/>
          <w:sz w:val="19"/>
        </w:rPr>
        <w:t>What you write down, what goes in the tracker, and what you say to the manager.</w:t>
      </w:r>
    </w:p>
    <w:p>
      <w:pPr>
        <w:spacing w:after="40"/>
      </w:pPr>
      <w:r>
        <w:rPr>
          <w:rFonts w:ascii="Calibri" w:hAnsi="Calibri"/>
          <w:b/>
          <w:color w:val="0069A4"/>
          <w:sz w:val="19"/>
        </w:rPr>
        <w:t xml:space="preserve">At the end  </w:t>
      </w:r>
      <w:r>
        <w:rPr>
          <w:rFonts w:ascii="Calibri" w:hAnsi="Calibri"/>
          <w:color w:val="565656"/>
          <w:sz w:val="19"/>
        </w:rPr>
        <w:t>What not to ask and why, ten checks before your first one, and what this was read from.</w:t>
      </w:r>
    </w:p>
    <w:p>
      <w:pPr>
        <w:keepNext w:val="0"/>
        <w:spacing w:after="160" w:before="0"/>
      </w:pPr>
      <w:r>
        <w:rPr>
          <w:rFonts w:ascii="Calibri" w:hAnsi="Calibri"/>
          <w:b w:val="0"/>
          <w:i w:val="0"/>
          <w:color w:val="1D1D1D"/>
          <w:sz w:val="21"/>
        </w:rPr>
      </w:r>
    </w:p>
    <w:p>
      <w:pPr>
        <w:pStyle w:val="Heading1"/>
        <w:keepNext/>
        <w:spacing w:after="200" w:before="80"/>
        <w:ind w:left="115"/>
        <w:shd w:val="clear" w:fill="008CDB"/>
      </w:pPr>
      <w:r>
        <w:rPr>
          <w:rFonts w:ascii="Calibri" w:hAnsi="Calibri"/>
          <w:b/>
          <w:color w:val="FFFFFF"/>
          <w:sz w:val="22"/>
        </w:rPr>
        <w:t>1.  How to run one</w:t>
      </w:r>
    </w:p>
    <w:p>
      <w:pPr>
        <w:spacing w:after="60"/>
      </w:pPr>
      <w:r>
        <w:rPr>
          <w:rFonts w:ascii="Calibri" w:hAnsi="Calibri"/>
          <w:b/>
          <w:color w:val="0069A4"/>
          <w:sz w:val="19"/>
        </w:rPr>
        <w:t xml:space="preserve">Who conducts it  </w:t>
      </w:r>
      <w:r>
        <w:rPr>
          <w:rFonts w:ascii="Calibri" w:hAnsi="Calibri"/>
          <w:color w:val="565656"/>
          <w:sz w:val="19"/>
        </w:rPr>
        <w:t>Somebody other than the person they are leaving. If the reporting manager runs it you will get a polite version of the truth, and you will not hear the thing section 4 is about. HR, a skip-level, or a peer from another function.</w:t>
      </w:r>
    </w:p>
    <w:p>
      <w:pPr>
        <w:spacing w:after="60"/>
      </w:pPr>
      <w:r>
        <w:rPr>
          <w:rFonts w:ascii="Calibri" w:hAnsi="Calibri"/>
          <w:b/>
          <w:color w:val="0069A4"/>
          <w:sz w:val="19"/>
        </w:rPr>
        <w:t xml:space="preserve">When  </w:t>
      </w:r>
      <w:r>
        <w:rPr>
          <w:rFonts w:ascii="Calibri" w:hAnsi="Calibri"/>
          <w:color w:val="565656"/>
          <w:sz w:val="19"/>
        </w:rPr>
        <w:t>After the resignation is accepted and before the last week. Too early and they are still negotiating; too late and they have stopped caring.</w:t>
      </w:r>
    </w:p>
    <w:p>
      <w:pPr>
        <w:spacing w:after="60"/>
      </w:pPr>
      <w:r>
        <w:rPr>
          <w:rFonts w:ascii="Calibri" w:hAnsi="Calibri"/>
          <w:b/>
          <w:color w:val="0069A4"/>
          <w:sz w:val="19"/>
        </w:rPr>
        <w:t xml:space="preserve">How long  </w:t>
      </w:r>
      <w:r>
        <w:rPr>
          <w:rFonts w:ascii="Calibri" w:hAnsi="Calibri"/>
          <w:color w:val="565656"/>
          <w:sz w:val="19"/>
        </w:rPr>
        <w:t>Thirty to forty minutes. Ten to fifteen questions from section 3, asked the same way every time.</w:t>
      </w:r>
    </w:p>
    <w:p>
      <w:pPr>
        <w:spacing w:after="60"/>
      </w:pPr>
      <w:r>
        <w:rPr>
          <w:rFonts w:ascii="Calibri" w:hAnsi="Calibri"/>
          <w:b/>
          <w:color w:val="0069A4"/>
          <w:sz w:val="19"/>
        </w:rPr>
        <w:t xml:space="preserve">In person or on a form  </w:t>
      </w:r>
      <w:r>
        <w:rPr>
          <w:rFonts w:ascii="Calibri" w:hAnsi="Calibri"/>
          <w:color w:val="565656"/>
          <w:sz w:val="19"/>
        </w:rPr>
        <w:t>A conversation gets you section 4. A form gets you comparable data and nothing else. If you only have capacity for one, have the conversation and type the answers in afterwards.</w:t>
      </w:r>
    </w:p>
    <w:p>
      <w:pPr>
        <w:spacing w:after="60"/>
      </w:pPr>
      <w:r>
        <w:rPr>
          <w:rFonts w:ascii="Calibri" w:hAnsi="Calibri"/>
          <w:b/>
          <w:color w:val="0069A4"/>
          <w:sz w:val="19"/>
        </w:rPr>
        <w:t xml:space="preserve">What this is not for  </w:t>
      </w:r>
      <w:r>
        <w:rPr>
          <w:rFonts w:ascii="Calibri" w:hAnsi="Calibri"/>
          <w:color w:val="565656"/>
          <w:sz w:val="19"/>
        </w:rPr>
        <w:t>An involuntary exit. Where somebody is dismissed, discharged or made redundant, this is not an exit interview and should not be dressed as one. The conversation you need there is a different one with different rules.</w:t>
      </w:r>
    </w:p>
    <w:p>
      <w:pPr>
        <w:spacing w:after="60"/>
      </w:pPr>
      <w:r>
        <w:rPr>
          <w:rFonts w:ascii="Calibri" w:hAnsi="Calibri"/>
          <w:b/>
          <w:color w:val="0069A4"/>
          <w:sz w:val="19"/>
        </w:rPr>
        <w:t xml:space="preserve">Tell them what happens to it  </w:t>
      </w:r>
      <w:r>
        <w:rPr>
          <w:rFonts w:ascii="Calibri" w:hAnsi="Calibri"/>
          <w:color w:val="565656"/>
          <w:sz w:val="19"/>
        </w:rPr>
        <w:t>Before you start: who will read it, what goes to the manager, and what will not. Section 6 is easier if you have settled it in advance, and the answers are better.</w:t>
      </w:r>
    </w:p>
    <w:p>
      <w:pPr>
        <w:keepNext w:val="0"/>
        <w:spacing w:after="120" w:before="0"/>
      </w:pPr>
      <w:r>
        <w:rPr>
          <w:rFonts w:ascii="Calibri" w:hAnsi="Calibri"/>
          <w:b w:val="0"/>
          <w:i w:val="0"/>
          <w:color w:val="1D1D1D"/>
          <w:sz w:val="21"/>
        </w:rPr>
      </w:r>
    </w:p>
    <w:p>
      <w:r>
        <w:br w:type="page"/>
      </w:r>
    </w:p>
    <w:p>
      <w:pPr>
        <w:pStyle w:val="Heading1"/>
        <w:keepNext/>
        <w:spacing w:after="200" w:before="80"/>
        <w:ind w:left="115"/>
        <w:shd w:val="clear" w:fill="008CDB"/>
      </w:pPr>
      <w:r>
        <w:rPr>
          <w:rFonts w:ascii="Calibri" w:hAnsi="Calibri"/>
          <w:b/>
          <w:color w:val="FFFFFF"/>
          <w:sz w:val="22"/>
        </w:rPr>
        <w:t>2.  THE FORM</w:t>
      </w:r>
    </w:p>
    <w:p>
      <w:pPr>
        <w:keepNext w:val="0"/>
        <w:spacing w:after="160" w:before="0"/>
      </w:pPr>
      <w:r>
        <w:rPr>
          <w:rFonts w:ascii="Calibri" w:hAnsi="Calibri"/>
          <w:b w:val="0"/>
          <w:i/>
          <w:color w:val="565656"/>
          <w:sz w:val="19"/>
        </w:rPr>
        <w:t>Print it, or fill it on screen. Replace every [PLACEHOLDER].</w:t>
      </w:r>
    </w:p>
    <w:p>
      <w:pPr>
        <w:keepNext w:val="0"/>
        <w:spacing w:after="40" w:before="0"/>
        <w:jc w:val="center"/>
      </w:pPr>
      <w:r>
        <w:rPr>
          <w:rFonts w:ascii="Calibri" w:hAnsi="Calibri"/>
          <w:b/>
          <w:i w:val="0"/>
          <w:color w:val="1D1D1D"/>
          <w:sz w:val="28"/>
        </w:rPr>
        <w:t>EXIT INTERVIEW</w:t>
      </w:r>
    </w:p>
    <w:p>
      <w:pPr>
        <w:keepNext w:val="0"/>
        <w:spacing w:after="160" w:before="0"/>
        <w:jc w:val="center"/>
      </w:pPr>
      <w:r>
        <w:rPr>
          <w:rFonts w:ascii="Calibri" w:hAnsi="Calibri"/>
          <w:b w:val="0"/>
          <w:i w:val="0"/>
          <w:color w:val="565656"/>
          <w:sz w:val="19"/>
        </w:rPr>
        <w:t>[COMPANY NAME]  ·  confidential  ·  retained until [RETENTION DATE]</w:t>
      </w:r>
    </w:p>
    <w:p>
      <w:pPr>
        <w:spacing w:after="160" w:before="160"/>
        <w:pBdr>
          <w:bottom w:val="single" w:sz="6" w:space="1" w:color="D1EAF9"/>
        </w:pBdr>
      </w:pPr>
    </w:p>
    <w:p>
      <w:pPr>
        <w:pStyle w:val="Heading2"/>
        <w:keepNext/>
        <w:spacing w:after="80" w:before="160"/>
      </w:pPr>
      <w:r>
        <w:rPr>
          <w:rFonts w:ascii="Calibri" w:hAnsi="Calibri"/>
          <w:b/>
          <w:color w:val="1D1D1D"/>
          <w:sz w:val="22"/>
        </w:rPr>
        <w:t>Part A.  The facts</w:t>
      </w:r>
    </w:p>
    <w:tbl>
      <w:tblPr>
        <w:tblStyle w:val="TableGrid"/>
        <w:tblW w:type="auto" w:w="0"/>
        <w:tblLook w:firstColumn="1" w:firstRow="1" w:lastColumn="0" w:lastRow="0" w:noHBand="0" w:noVBand="1" w:val="04A0"/>
      </w:tblPr>
      <w:tblGrid>
        <w:gridCol w:w="3216"/>
        <w:gridCol w:w="3216"/>
        <w:gridCol w:w="3216"/>
      </w:tblGrid>
      <w:tr>
        <w:tc>
          <w:tcPr>
            <w:tcW w:type="dxa" w:w="2448"/>
            <w:shd w:val="clear" w:fill="008CDB"/>
          </w:tcPr>
          <w:p>
            <w:pPr>
              <w:spacing w:after="40" w:before="40"/>
            </w:pPr>
            <w:r/>
            <w:r>
              <w:rPr>
                <w:rFonts w:ascii="Calibri" w:hAnsi="Calibri"/>
                <w:b/>
                <w:color w:val="FFFFFF"/>
                <w:sz w:val="18"/>
              </w:rPr>
              <w:t>Field</w:t>
            </w:r>
          </w:p>
        </w:tc>
        <w:tc>
          <w:tcPr>
            <w:tcW w:type="dxa" w:w="3024"/>
            <w:shd w:val="clear" w:fill="008CDB"/>
          </w:tcPr>
          <w:p>
            <w:pPr>
              <w:spacing w:after="40" w:before="40"/>
            </w:pPr>
            <w:r/>
            <w:r>
              <w:rPr>
                <w:rFonts w:ascii="Calibri" w:hAnsi="Calibri"/>
                <w:b/>
                <w:color w:val="FFFFFF"/>
                <w:sz w:val="18"/>
              </w:rPr>
              <w:t>Entry</w:t>
            </w:r>
          </w:p>
        </w:tc>
        <w:tc>
          <w:tcPr>
            <w:tcW w:type="dxa" w:w="4320"/>
            <w:shd w:val="clear" w:fill="008CDB"/>
          </w:tcPr>
          <w:p>
            <w:pPr>
              <w:spacing w:after="40" w:before="40"/>
            </w:pPr>
            <w:r/>
            <w:r>
              <w:rPr>
                <w:rFonts w:ascii="Calibri" w:hAnsi="Calibri"/>
                <w:b/>
                <w:color w:val="FFFFFF"/>
                <w:sz w:val="18"/>
              </w:rPr>
              <w:t>Why it is here</w:t>
            </w:r>
          </w:p>
        </w:tc>
      </w:tr>
      <w:tr>
        <w:tc>
          <w:tcPr>
            <w:tcW w:type="dxa" w:w="2448"/>
          </w:tcPr>
          <w:p>
            <w:pPr>
              <w:spacing w:after="40" w:before="40"/>
            </w:pPr>
            <w:r/>
            <w:r>
              <w:rPr>
                <w:rFonts w:ascii="Calibri" w:hAnsi="Calibri"/>
                <w:color w:val="565656"/>
                <w:sz w:val="18"/>
              </w:rPr>
              <w:t>Name</w:t>
            </w:r>
          </w:p>
        </w:tc>
        <w:tc>
          <w:tcPr>
            <w:tcW w:type="dxa" w:w="3024"/>
          </w:tcPr>
          <w:p>
            <w:pPr>
              <w:spacing w:after="40" w:before="40"/>
            </w:pPr>
            <w:r/>
            <w:r>
              <w:rPr>
                <w:rFonts w:ascii="Calibri" w:hAnsi="Calibri"/>
                <w:color w:val="565656"/>
                <w:sz w:val="18"/>
              </w:rPr>
              <w:t>[FULL NAME]</w:t>
            </w:r>
          </w:p>
        </w:tc>
        <w:tc>
          <w:tcPr>
            <w:tcW w:type="dxa" w:w="4320"/>
          </w:tcPr>
          <w:p>
            <w:pPr>
              <w:spacing w:after="40" w:before="40"/>
            </w:pPr>
            <w:r/>
            <w:r>
              <w:rPr>
                <w:rFonts w:ascii="Calibri" w:hAnsi="Calibri"/>
                <w:color w:val="565656"/>
                <w:sz w:val="18"/>
              </w:rPr>
              <w:t>As it appears on the payroll record.</w:t>
            </w:r>
          </w:p>
        </w:tc>
      </w:tr>
      <w:tr>
        <w:tc>
          <w:tcPr>
            <w:tcW w:type="dxa" w:w="2448"/>
          </w:tcPr>
          <w:p>
            <w:pPr>
              <w:spacing w:after="40" w:before="40"/>
            </w:pPr>
            <w:r/>
            <w:r>
              <w:rPr>
                <w:rFonts w:ascii="Calibri" w:hAnsi="Calibri"/>
                <w:color w:val="565656"/>
                <w:sz w:val="18"/>
              </w:rPr>
              <w:t>Employee code</w:t>
            </w:r>
          </w:p>
        </w:tc>
        <w:tc>
          <w:tcPr>
            <w:tcW w:type="dxa" w:w="3024"/>
          </w:tcPr>
          <w:p>
            <w:pPr>
              <w:spacing w:after="40" w:before="40"/>
            </w:pPr>
            <w:r/>
            <w:r>
              <w:rPr>
                <w:rFonts w:ascii="Calibri" w:hAnsi="Calibri"/>
                <w:color w:val="565656"/>
                <w:sz w:val="18"/>
              </w:rPr>
              <w:t>[EMPLOYEE CODE]</w:t>
            </w:r>
          </w:p>
        </w:tc>
        <w:tc>
          <w:tcPr>
            <w:tcW w:type="dxa" w:w="4320"/>
          </w:tcPr>
          <w:p>
            <w:pPr>
              <w:spacing w:after="40" w:before="40"/>
            </w:pPr>
            <w:r/>
            <w:r>
              <w:rPr>
                <w:rFonts w:ascii="Calibri" w:hAnsi="Calibri"/>
                <w:color w:val="565656"/>
                <w:sz w:val="18"/>
              </w:rPr>
              <w:t>So the form joins to payroll and leave.</w:t>
            </w:r>
          </w:p>
        </w:tc>
      </w:tr>
      <w:tr>
        <w:tc>
          <w:tcPr>
            <w:tcW w:type="dxa" w:w="2448"/>
          </w:tcPr>
          <w:p>
            <w:pPr>
              <w:spacing w:after="40" w:before="40"/>
            </w:pPr>
            <w:r/>
            <w:r>
              <w:rPr>
                <w:rFonts w:ascii="Calibri" w:hAnsi="Calibri"/>
                <w:color w:val="565656"/>
                <w:sz w:val="18"/>
              </w:rPr>
              <w:t>Designation</w:t>
            </w:r>
          </w:p>
        </w:tc>
        <w:tc>
          <w:tcPr>
            <w:tcW w:type="dxa" w:w="3024"/>
          </w:tcPr>
          <w:p>
            <w:pPr>
              <w:spacing w:after="40" w:before="40"/>
            </w:pPr>
            <w:r/>
            <w:r>
              <w:rPr>
                <w:rFonts w:ascii="Calibri" w:hAnsi="Calibri"/>
                <w:color w:val="565656"/>
                <w:sz w:val="18"/>
              </w:rPr>
              <w:t>[DESIGNATION]</w:t>
            </w:r>
          </w:p>
        </w:tc>
        <w:tc>
          <w:tcPr>
            <w:tcW w:type="dxa" w:w="4320"/>
          </w:tcPr>
          <w:p>
            <w:pPr>
              <w:spacing w:after="40" w:before="40"/>
            </w:pPr>
            <w:r/>
            <w:r>
              <w:rPr>
                <w:rFonts w:ascii="Calibri" w:hAnsi="Calibri"/>
                <w:color w:val="565656"/>
                <w:sz w:val="18"/>
              </w:rPr>
            </w:r>
          </w:p>
        </w:tc>
      </w:tr>
      <w:tr>
        <w:tc>
          <w:tcPr>
            <w:tcW w:type="dxa" w:w="2448"/>
          </w:tcPr>
          <w:p>
            <w:pPr>
              <w:spacing w:after="40" w:before="40"/>
            </w:pPr>
            <w:r/>
            <w:r>
              <w:rPr>
                <w:rFonts w:ascii="Calibri" w:hAnsi="Calibri"/>
                <w:color w:val="565656"/>
                <w:sz w:val="18"/>
              </w:rPr>
              <w:t>Department or function</w:t>
            </w:r>
          </w:p>
        </w:tc>
        <w:tc>
          <w:tcPr>
            <w:tcW w:type="dxa" w:w="3024"/>
          </w:tcPr>
          <w:p>
            <w:pPr>
              <w:spacing w:after="40" w:before="40"/>
            </w:pPr>
            <w:r/>
            <w:r>
              <w:rPr>
                <w:rFonts w:ascii="Calibri" w:hAnsi="Calibri"/>
                <w:color w:val="565656"/>
                <w:sz w:val="18"/>
              </w:rPr>
              <w:t>[DEPARTMENT]</w:t>
            </w:r>
          </w:p>
        </w:tc>
        <w:tc>
          <w:tcPr>
            <w:tcW w:type="dxa" w:w="4320"/>
          </w:tcPr>
          <w:p>
            <w:pPr>
              <w:spacing w:after="40" w:before="40"/>
            </w:pPr>
            <w:r/>
            <w:r>
              <w:rPr>
                <w:rFonts w:ascii="Calibri" w:hAnsi="Calibri"/>
                <w:color w:val="565656"/>
                <w:sz w:val="18"/>
              </w:rPr>
            </w:r>
          </w:p>
        </w:tc>
      </w:tr>
      <w:tr>
        <w:tc>
          <w:tcPr>
            <w:tcW w:type="dxa" w:w="2448"/>
          </w:tcPr>
          <w:p>
            <w:pPr>
              <w:spacing w:after="40" w:before="40"/>
            </w:pPr>
            <w:r/>
            <w:r>
              <w:rPr>
                <w:rFonts w:ascii="Calibri" w:hAnsi="Calibri"/>
                <w:color w:val="565656"/>
                <w:sz w:val="18"/>
              </w:rPr>
              <w:t>Reporting manager</w:t>
            </w:r>
          </w:p>
        </w:tc>
        <w:tc>
          <w:tcPr>
            <w:tcW w:type="dxa" w:w="3024"/>
          </w:tcPr>
          <w:p>
            <w:pPr>
              <w:spacing w:after="40" w:before="40"/>
            </w:pPr>
            <w:r/>
            <w:r>
              <w:rPr>
                <w:rFonts w:ascii="Calibri" w:hAnsi="Calibri"/>
                <w:color w:val="565656"/>
                <w:sz w:val="18"/>
              </w:rPr>
              <w:t>[MANAGER NAME]</w:t>
            </w:r>
          </w:p>
        </w:tc>
        <w:tc>
          <w:tcPr>
            <w:tcW w:type="dxa" w:w="4320"/>
          </w:tcPr>
          <w:p>
            <w:pPr>
              <w:spacing w:after="40" w:before="40"/>
            </w:pPr>
            <w:r/>
            <w:r>
              <w:rPr>
                <w:rFonts w:ascii="Calibri" w:hAnsi="Calibri"/>
                <w:color w:val="565656"/>
                <w:sz w:val="18"/>
              </w:rPr>
              <w:t>Recorded because patterns by manager are the single most useful thing an exit interview produces. Handle it under clause 6 of the notes.</w:t>
            </w:r>
          </w:p>
        </w:tc>
      </w:tr>
      <w:tr>
        <w:tc>
          <w:tcPr>
            <w:tcW w:type="dxa" w:w="2448"/>
          </w:tcPr>
          <w:p>
            <w:pPr>
              <w:spacing w:after="40" w:before="40"/>
            </w:pPr>
            <w:r/>
            <w:r>
              <w:rPr>
                <w:rFonts w:ascii="Calibri" w:hAnsi="Calibri"/>
                <w:color w:val="565656"/>
                <w:sz w:val="18"/>
              </w:rPr>
              <w:t>Location</w:t>
            </w:r>
          </w:p>
        </w:tc>
        <w:tc>
          <w:tcPr>
            <w:tcW w:type="dxa" w:w="3024"/>
          </w:tcPr>
          <w:p>
            <w:pPr>
              <w:spacing w:after="40" w:before="40"/>
            </w:pPr>
            <w:r/>
            <w:r>
              <w:rPr>
                <w:rFonts w:ascii="Calibri" w:hAnsi="Calibri"/>
                <w:color w:val="565656"/>
                <w:sz w:val="18"/>
              </w:rPr>
              <w:t>[LOCATION]</w:t>
            </w:r>
          </w:p>
        </w:tc>
        <w:tc>
          <w:tcPr>
            <w:tcW w:type="dxa" w:w="4320"/>
          </w:tcPr>
          <w:p>
            <w:pPr>
              <w:spacing w:after="40" w:before="40"/>
            </w:pPr>
            <w:r/>
            <w:r>
              <w:rPr>
                <w:rFonts w:ascii="Calibri" w:hAnsi="Calibri"/>
                <w:color w:val="565656"/>
                <w:sz w:val="18"/>
              </w:rPr>
            </w:r>
          </w:p>
        </w:tc>
      </w:tr>
      <w:tr>
        <w:tc>
          <w:tcPr>
            <w:tcW w:type="dxa" w:w="2448"/>
          </w:tcPr>
          <w:p>
            <w:pPr>
              <w:spacing w:after="40" w:before="40"/>
            </w:pPr>
            <w:r/>
            <w:r>
              <w:rPr>
                <w:rFonts w:ascii="Calibri" w:hAnsi="Calibri"/>
                <w:color w:val="565656"/>
                <w:sz w:val="18"/>
              </w:rPr>
              <w:t>Date of joining</w:t>
            </w:r>
          </w:p>
        </w:tc>
        <w:tc>
          <w:tcPr>
            <w:tcW w:type="dxa" w:w="3024"/>
          </w:tcPr>
          <w:p>
            <w:pPr>
              <w:spacing w:after="40" w:before="40"/>
            </w:pPr>
            <w:r/>
            <w:r>
              <w:rPr>
                <w:rFonts w:ascii="Calibri" w:hAnsi="Calibri"/>
                <w:color w:val="565656"/>
                <w:sz w:val="18"/>
              </w:rPr>
              <w:t>[DD-MMM-YYYY]</w:t>
            </w:r>
          </w:p>
        </w:tc>
        <w:tc>
          <w:tcPr>
            <w:tcW w:type="dxa" w:w="4320"/>
          </w:tcPr>
          <w:p>
            <w:pPr>
              <w:spacing w:after="40" w:before="40"/>
            </w:pPr>
            <w:r/>
            <w:r>
              <w:rPr>
                <w:rFonts w:ascii="Calibri" w:hAnsi="Calibri"/>
                <w:color w:val="565656"/>
                <w:sz w:val="18"/>
              </w:rPr>
            </w:r>
          </w:p>
        </w:tc>
      </w:tr>
      <w:tr>
        <w:tc>
          <w:tcPr>
            <w:tcW w:type="dxa" w:w="2448"/>
          </w:tcPr>
          <w:p>
            <w:pPr>
              <w:spacing w:after="40" w:before="40"/>
            </w:pPr>
            <w:r/>
            <w:r>
              <w:rPr>
                <w:rFonts w:ascii="Calibri" w:hAnsi="Calibri"/>
                <w:color w:val="565656"/>
                <w:sz w:val="18"/>
              </w:rPr>
              <w:t>Last working day</w:t>
            </w:r>
          </w:p>
        </w:tc>
        <w:tc>
          <w:tcPr>
            <w:tcW w:type="dxa" w:w="3024"/>
          </w:tcPr>
          <w:p>
            <w:pPr>
              <w:spacing w:after="40" w:before="40"/>
            </w:pPr>
            <w:r/>
            <w:r>
              <w:rPr>
                <w:rFonts w:ascii="Calibri" w:hAnsi="Calibri"/>
                <w:color w:val="565656"/>
                <w:sz w:val="18"/>
              </w:rPr>
              <w:t>[DD-MMM-YYYY]</w:t>
            </w:r>
          </w:p>
        </w:tc>
        <w:tc>
          <w:tcPr>
            <w:tcW w:type="dxa" w:w="4320"/>
          </w:tcPr>
          <w:p>
            <w:pPr>
              <w:spacing w:after="40" w:before="40"/>
            </w:pPr>
            <w:r/>
            <w:r>
              <w:rPr>
                <w:rFonts w:ascii="Calibri" w:hAnsi="Calibri"/>
                <w:color w:val="565656"/>
                <w:sz w:val="18"/>
              </w:rPr>
              <w:t>The two clocks at section 5 both run from separation, not from this interview.</w:t>
            </w:r>
          </w:p>
        </w:tc>
      </w:tr>
      <w:tr>
        <w:tc>
          <w:tcPr>
            <w:tcW w:type="dxa" w:w="2448"/>
          </w:tcPr>
          <w:p>
            <w:pPr>
              <w:spacing w:after="40" w:before="40"/>
            </w:pPr>
            <w:r/>
            <w:r>
              <w:rPr>
                <w:rFonts w:ascii="Calibri" w:hAnsi="Calibri"/>
                <w:color w:val="565656"/>
                <w:sz w:val="18"/>
              </w:rPr>
              <w:t>Tenure</w:t>
            </w:r>
          </w:p>
        </w:tc>
        <w:tc>
          <w:tcPr>
            <w:tcW w:type="dxa" w:w="3024"/>
          </w:tcPr>
          <w:p>
            <w:pPr>
              <w:spacing w:after="40" w:before="40"/>
            </w:pPr>
            <w:r/>
            <w:r>
              <w:rPr>
                <w:rFonts w:ascii="Calibri" w:hAnsi="Calibri"/>
                <w:color w:val="565656"/>
                <w:sz w:val="18"/>
              </w:rPr>
              <w:t>[YEARS] years [MONTHS] months</w:t>
            </w:r>
          </w:p>
        </w:tc>
        <w:tc>
          <w:tcPr>
            <w:tcW w:type="dxa" w:w="4320"/>
          </w:tcPr>
          <w:p>
            <w:pPr>
              <w:spacing w:after="40" w:before="40"/>
            </w:pPr>
            <w:r/>
            <w:r>
              <w:rPr>
                <w:rFonts w:ascii="Calibri" w:hAnsi="Calibri"/>
                <w:color w:val="565656"/>
                <w:sz w:val="18"/>
              </w:rPr>
              <w:t>Band it later: under 6 months, 6 to 24 months, 2 to 5 years, over 5. Tenure changes what an answer means.</w:t>
            </w:r>
          </w:p>
        </w:tc>
      </w:tr>
      <w:tr>
        <w:tc>
          <w:tcPr>
            <w:tcW w:type="dxa" w:w="2448"/>
          </w:tcPr>
          <w:p>
            <w:pPr>
              <w:spacing w:after="40" w:before="40"/>
            </w:pPr>
            <w:r/>
            <w:r>
              <w:rPr>
                <w:rFonts w:ascii="Calibri" w:hAnsi="Calibri"/>
                <w:color w:val="565656"/>
                <w:sz w:val="18"/>
              </w:rPr>
              <w:t>Type of exit</w:t>
            </w:r>
          </w:p>
        </w:tc>
        <w:tc>
          <w:tcPr>
            <w:tcW w:type="dxa" w:w="3024"/>
          </w:tcPr>
          <w:p>
            <w:pPr>
              <w:spacing w:after="40" w:before="40"/>
            </w:pPr>
            <w:r/>
            <w:r>
              <w:rPr>
                <w:rFonts w:ascii="Calibri" w:hAnsi="Calibri"/>
                <w:color w:val="565656"/>
                <w:sz w:val="18"/>
              </w:rPr>
              <w:t>[RESIGNATION / END OF FIXED TERM / RETIREMENT / OTHER]</w:t>
            </w:r>
          </w:p>
        </w:tc>
        <w:tc>
          <w:tcPr>
            <w:tcW w:type="dxa" w:w="4320"/>
          </w:tcPr>
          <w:p>
            <w:pPr>
              <w:spacing w:after="40" w:before="40"/>
            </w:pPr>
            <w:r/>
            <w:r>
              <w:rPr>
                <w:rFonts w:ascii="Calibri" w:hAnsi="Calibri"/>
                <w:color w:val="565656"/>
                <w:sz w:val="18"/>
              </w:rPr>
              <w:t>An involuntary exit is not an exit interview. See the note at section 1.</w:t>
            </w:r>
          </w:p>
        </w:tc>
      </w:tr>
      <w:tr>
        <w:tc>
          <w:tcPr>
            <w:tcW w:type="dxa" w:w="2448"/>
          </w:tcPr>
          <w:p>
            <w:pPr>
              <w:spacing w:after="40" w:before="40"/>
            </w:pPr>
            <w:r/>
            <w:r>
              <w:rPr>
                <w:rFonts w:ascii="Calibri" w:hAnsi="Calibri"/>
                <w:color w:val="565656"/>
                <w:sz w:val="18"/>
              </w:rPr>
              <w:t>Who is conducting this</w:t>
            </w:r>
          </w:p>
        </w:tc>
        <w:tc>
          <w:tcPr>
            <w:tcW w:type="dxa" w:w="3024"/>
          </w:tcPr>
          <w:p>
            <w:pPr>
              <w:spacing w:after="40" w:before="40"/>
            </w:pPr>
            <w:r/>
            <w:r>
              <w:rPr>
                <w:rFonts w:ascii="Calibri" w:hAnsi="Calibri"/>
                <w:color w:val="565656"/>
                <w:sz w:val="18"/>
              </w:rPr>
              <w:t>[INTERVIEWER NAME AND ROLE]</w:t>
            </w:r>
          </w:p>
        </w:tc>
        <w:tc>
          <w:tcPr>
            <w:tcW w:type="dxa" w:w="4320"/>
          </w:tcPr>
          <w:p>
            <w:pPr>
              <w:spacing w:after="40" w:before="40"/>
            </w:pPr>
            <w:r/>
            <w:r>
              <w:rPr>
                <w:rFonts w:ascii="Calibri" w:hAnsi="Calibri"/>
                <w:color w:val="565656"/>
                <w:sz w:val="18"/>
              </w:rPr>
              <w:t>Not the reporting manager. Section 1 says why.</w:t>
            </w:r>
          </w:p>
        </w:tc>
      </w:tr>
      <w:tr>
        <w:tc>
          <w:tcPr>
            <w:tcW w:type="dxa" w:w="2448"/>
          </w:tcPr>
          <w:p>
            <w:pPr>
              <w:spacing w:after="40" w:before="40"/>
            </w:pPr>
            <w:r/>
            <w:r>
              <w:rPr>
                <w:rFonts w:ascii="Calibri" w:hAnsi="Calibri"/>
                <w:color w:val="565656"/>
                <w:sz w:val="18"/>
              </w:rPr>
              <w:t>Date and mode of interview</w:t>
            </w:r>
          </w:p>
        </w:tc>
        <w:tc>
          <w:tcPr>
            <w:tcW w:type="dxa" w:w="3024"/>
          </w:tcPr>
          <w:p>
            <w:pPr>
              <w:spacing w:after="40" w:before="40"/>
            </w:pPr>
            <w:r/>
            <w:r>
              <w:rPr>
                <w:rFonts w:ascii="Calibri" w:hAnsi="Calibri"/>
                <w:color w:val="565656"/>
                <w:sz w:val="18"/>
              </w:rPr>
              <w:t>[DD-MMM-YYYY] / [IN PERSON / CALL / FORM]</w:t>
            </w:r>
          </w:p>
        </w:tc>
        <w:tc>
          <w:tcPr>
            <w:tcW w:type="dxa" w:w="4320"/>
          </w:tcPr>
          <w:p>
            <w:pPr>
              <w:spacing w:after="40" w:before="40"/>
            </w:pPr>
            <w:r/>
            <w:r>
              <w:rPr>
                <w:rFonts w:ascii="Calibri" w:hAnsi="Calibri"/>
                <w:color w:val="565656"/>
                <w:sz w:val="18"/>
              </w:rPr>
            </w:r>
          </w:p>
        </w:tc>
      </w:tr>
    </w:tbl>
    <w:p>
      <w:pPr>
        <w:spacing w:after="80"/>
      </w:pPr>
    </w:p>
    <w:p>
      <w:pPr>
        <w:pStyle w:val="Heading2"/>
        <w:keepNext/>
        <w:spacing w:after="80" w:before="160"/>
      </w:pPr>
      <w:r>
        <w:rPr>
          <w:rFonts w:ascii="Calibri" w:hAnsi="Calibri"/>
          <w:b/>
          <w:color w:val="1D1D1D"/>
          <w:sz w:val="22"/>
        </w:rPr>
        <w:t>Part B.  The conversation</w:t>
      </w:r>
    </w:p>
    <w:p>
      <w:pPr>
        <w:keepNext w:val="0"/>
        <w:spacing w:after="120" w:before="0"/>
      </w:pPr>
      <w:r>
        <w:rPr>
          <w:rFonts w:ascii="Calibri" w:hAnsi="Calibri"/>
          <w:b w:val="0"/>
          <w:i/>
          <w:color w:val="565656"/>
          <w:sz w:val="18"/>
        </w:rPr>
        <w:t>Ten to fifteen questions from section 3, kept the same across leavers so the answers compare. Space to write is below each. There are 15 slots because the advice above is fifteen at the top of its range: delete the ones you do not use.</w:t>
      </w:r>
    </w:p>
    <w:p>
      <w:pPr>
        <w:keepNext/>
        <w:spacing w:after="60" w:before="0"/>
      </w:pPr>
      <w:r>
        <w:rPr>
          <w:rFonts w:ascii="Calibri" w:hAnsi="Calibri"/>
          <w:b/>
          <w:i w:val="0"/>
          <w:color w:val="1D1D1D"/>
          <w:sz w:val="20"/>
        </w:rPr>
        <w:t>1.  [QUESTION 1]</w:t>
      </w:r>
    </w:p>
    <w:p>
      <w:pPr>
        <w:spacing w:after="100" w:before="100"/>
        <w:pBdr>
          <w:bottom w:val="single" w:sz="4" w:space="1" w:color="C9C9C9"/>
        </w:pBdr>
      </w:pPr>
    </w:p>
    <w:p>
      <w:pPr>
        <w:spacing w:after="100" w:before="100"/>
        <w:pBdr>
          <w:bottom w:val="single" w:sz="4" w:space="1" w:color="C9C9C9"/>
        </w:pBdr>
      </w:pPr>
    </w:p>
    <w:p>
      <w:pPr>
        <w:spacing w:after="100" w:before="100"/>
        <w:pBdr>
          <w:bottom w:val="single" w:sz="4" w:space="1" w:color="C9C9C9"/>
        </w:pBdr>
      </w:pPr>
    </w:p>
    <w:p>
      <w:pPr>
        <w:keepNext/>
        <w:spacing w:after="60" w:before="0"/>
      </w:pPr>
      <w:r>
        <w:rPr>
          <w:rFonts w:ascii="Calibri" w:hAnsi="Calibri"/>
          <w:b/>
          <w:i w:val="0"/>
          <w:color w:val="1D1D1D"/>
          <w:sz w:val="20"/>
        </w:rPr>
        <w:t>2.  [QUESTION 2]</w:t>
      </w:r>
    </w:p>
    <w:p>
      <w:pPr>
        <w:spacing w:after="100" w:before="100"/>
        <w:pBdr>
          <w:bottom w:val="single" w:sz="4" w:space="1" w:color="C9C9C9"/>
        </w:pBdr>
      </w:pPr>
    </w:p>
    <w:p>
      <w:pPr>
        <w:spacing w:after="100" w:before="100"/>
        <w:pBdr>
          <w:bottom w:val="single" w:sz="4" w:space="1" w:color="C9C9C9"/>
        </w:pBdr>
      </w:pPr>
    </w:p>
    <w:p>
      <w:pPr>
        <w:spacing w:after="100" w:before="100"/>
        <w:pBdr>
          <w:bottom w:val="single" w:sz="4" w:space="1" w:color="C9C9C9"/>
        </w:pBdr>
      </w:pPr>
    </w:p>
    <w:p>
      <w:pPr>
        <w:keepNext/>
        <w:spacing w:after="60" w:before="0"/>
      </w:pPr>
      <w:r>
        <w:rPr>
          <w:rFonts w:ascii="Calibri" w:hAnsi="Calibri"/>
          <w:b/>
          <w:i w:val="0"/>
          <w:color w:val="1D1D1D"/>
          <w:sz w:val="20"/>
        </w:rPr>
        <w:t>3.  [QUESTION 3]</w:t>
      </w:r>
    </w:p>
    <w:p>
      <w:pPr>
        <w:spacing w:after="100" w:before="100"/>
        <w:pBdr>
          <w:bottom w:val="single" w:sz="4" w:space="1" w:color="C9C9C9"/>
        </w:pBdr>
      </w:pPr>
    </w:p>
    <w:p>
      <w:pPr>
        <w:spacing w:after="100" w:before="100"/>
        <w:pBdr>
          <w:bottom w:val="single" w:sz="4" w:space="1" w:color="C9C9C9"/>
        </w:pBdr>
      </w:pPr>
    </w:p>
    <w:p>
      <w:pPr>
        <w:spacing w:after="100" w:before="100"/>
        <w:pBdr>
          <w:bottom w:val="single" w:sz="4" w:space="1" w:color="C9C9C9"/>
        </w:pBdr>
      </w:pPr>
    </w:p>
    <w:p>
      <w:pPr>
        <w:keepNext/>
        <w:spacing w:after="60" w:before="0"/>
      </w:pPr>
      <w:r>
        <w:rPr>
          <w:rFonts w:ascii="Calibri" w:hAnsi="Calibri"/>
          <w:b/>
          <w:i w:val="0"/>
          <w:color w:val="1D1D1D"/>
          <w:sz w:val="20"/>
        </w:rPr>
        <w:t>4.  [QUESTION 4]</w:t>
      </w:r>
    </w:p>
    <w:p>
      <w:pPr>
        <w:spacing w:after="100" w:before="100"/>
        <w:pBdr>
          <w:bottom w:val="single" w:sz="4" w:space="1" w:color="C9C9C9"/>
        </w:pBdr>
      </w:pPr>
    </w:p>
    <w:p>
      <w:pPr>
        <w:spacing w:after="100" w:before="100"/>
        <w:pBdr>
          <w:bottom w:val="single" w:sz="4" w:space="1" w:color="C9C9C9"/>
        </w:pBdr>
      </w:pPr>
    </w:p>
    <w:p>
      <w:pPr>
        <w:spacing w:after="100" w:before="100"/>
        <w:pBdr>
          <w:bottom w:val="single" w:sz="4" w:space="1" w:color="C9C9C9"/>
        </w:pBdr>
      </w:pPr>
    </w:p>
    <w:p>
      <w:pPr>
        <w:keepNext/>
        <w:spacing w:after="60" w:before="0"/>
      </w:pPr>
      <w:r>
        <w:rPr>
          <w:rFonts w:ascii="Calibri" w:hAnsi="Calibri"/>
          <w:b/>
          <w:i w:val="0"/>
          <w:color w:val="1D1D1D"/>
          <w:sz w:val="20"/>
        </w:rPr>
        <w:t>5.  [QUESTION 5]</w:t>
      </w:r>
    </w:p>
    <w:p>
      <w:pPr>
        <w:spacing w:after="100" w:before="100"/>
        <w:pBdr>
          <w:bottom w:val="single" w:sz="4" w:space="1" w:color="C9C9C9"/>
        </w:pBdr>
      </w:pPr>
    </w:p>
    <w:p>
      <w:pPr>
        <w:spacing w:after="100" w:before="100"/>
        <w:pBdr>
          <w:bottom w:val="single" w:sz="4" w:space="1" w:color="C9C9C9"/>
        </w:pBdr>
      </w:pPr>
    </w:p>
    <w:p>
      <w:pPr>
        <w:spacing w:after="100" w:before="100"/>
        <w:pBdr>
          <w:bottom w:val="single" w:sz="4" w:space="1" w:color="C9C9C9"/>
        </w:pBdr>
      </w:pPr>
    </w:p>
    <w:p>
      <w:pPr>
        <w:keepNext/>
        <w:spacing w:after="60" w:before="0"/>
      </w:pPr>
      <w:r>
        <w:rPr>
          <w:rFonts w:ascii="Calibri" w:hAnsi="Calibri"/>
          <w:b/>
          <w:i w:val="0"/>
          <w:color w:val="1D1D1D"/>
          <w:sz w:val="20"/>
        </w:rPr>
        <w:t>6.  [QUESTION 6]</w:t>
      </w:r>
    </w:p>
    <w:p>
      <w:pPr>
        <w:spacing w:after="100" w:before="100"/>
        <w:pBdr>
          <w:bottom w:val="single" w:sz="4" w:space="1" w:color="C9C9C9"/>
        </w:pBdr>
      </w:pPr>
    </w:p>
    <w:p>
      <w:pPr>
        <w:spacing w:after="100" w:before="100"/>
        <w:pBdr>
          <w:bottom w:val="single" w:sz="4" w:space="1" w:color="C9C9C9"/>
        </w:pBdr>
      </w:pPr>
    </w:p>
    <w:p>
      <w:pPr>
        <w:spacing w:after="100" w:before="100"/>
        <w:pBdr>
          <w:bottom w:val="single" w:sz="4" w:space="1" w:color="C9C9C9"/>
        </w:pBdr>
      </w:pPr>
    </w:p>
    <w:p>
      <w:pPr>
        <w:keepNext/>
        <w:spacing w:after="60" w:before="0"/>
      </w:pPr>
      <w:r>
        <w:rPr>
          <w:rFonts w:ascii="Calibri" w:hAnsi="Calibri"/>
          <w:b/>
          <w:i w:val="0"/>
          <w:color w:val="1D1D1D"/>
          <w:sz w:val="20"/>
        </w:rPr>
        <w:t>7.  [QUESTION 7]</w:t>
      </w:r>
    </w:p>
    <w:p>
      <w:pPr>
        <w:spacing w:after="100" w:before="100"/>
        <w:pBdr>
          <w:bottom w:val="single" w:sz="4" w:space="1" w:color="C9C9C9"/>
        </w:pBdr>
      </w:pPr>
    </w:p>
    <w:p>
      <w:pPr>
        <w:spacing w:after="100" w:before="100"/>
        <w:pBdr>
          <w:bottom w:val="single" w:sz="4" w:space="1" w:color="C9C9C9"/>
        </w:pBdr>
      </w:pPr>
    </w:p>
    <w:p>
      <w:pPr>
        <w:spacing w:after="100" w:before="100"/>
        <w:pBdr>
          <w:bottom w:val="single" w:sz="4" w:space="1" w:color="C9C9C9"/>
        </w:pBdr>
      </w:pPr>
    </w:p>
    <w:p>
      <w:pPr>
        <w:keepNext/>
        <w:spacing w:after="60" w:before="0"/>
      </w:pPr>
      <w:r>
        <w:rPr>
          <w:rFonts w:ascii="Calibri" w:hAnsi="Calibri"/>
          <w:b/>
          <w:i w:val="0"/>
          <w:color w:val="1D1D1D"/>
          <w:sz w:val="20"/>
        </w:rPr>
        <w:t>8.  [QUESTION 8]</w:t>
      </w:r>
    </w:p>
    <w:p>
      <w:pPr>
        <w:spacing w:after="100" w:before="100"/>
        <w:pBdr>
          <w:bottom w:val="single" w:sz="4" w:space="1" w:color="C9C9C9"/>
        </w:pBdr>
      </w:pPr>
    </w:p>
    <w:p>
      <w:pPr>
        <w:spacing w:after="100" w:before="100"/>
        <w:pBdr>
          <w:bottom w:val="single" w:sz="4" w:space="1" w:color="C9C9C9"/>
        </w:pBdr>
      </w:pPr>
    </w:p>
    <w:p>
      <w:pPr>
        <w:spacing w:after="100" w:before="100"/>
        <w:pBdr>
          <w:bottom w:val="single" w:sz="4" w:space="1" w:color="C9C9C9"/>
        </w:pBdr>
      </w:pPr>
    </w:p>
    <w:p>
      <w:pPr>
        <w:keepNext/>
        <w:spacing w:after="60" w:before="0"/>
      </w:pPr>
      <w:r>
        <w:rPr>
          <w:rFonts w:ascii="Calibri" w:hAnsi="Calibri"/>
          <w:b/>
          <w:i w:val="0"/>
          <w:color w:val="1D1D1D"/>
          <w:sz w:val="20"/>
        </w:rPr>
        <w:t>9.  [QUESTION 9]</w:t>
      </w:r>
    </w:p>
    <w:p>
      <w:pPr>
        <w:spacing w:after="100" w:before="100"/>
        <w:pBdr>
          <w:bottom w:val="single" w:sz="4" w:space="1" w:color="C9C9C9"/>
        </w:pBdr>
      </w:pPr>
    </w:p>
    <w:p>
      <w:pPr>
        <w:spacing w:after="100" w:before="100"/>
        <w:pBdr>
          <w:bottom w:val="single" w:sz="4" w:space="1" w:color="C9C9C9"/>
        </w:pBdr>
      </w:pPr>
    </w:p>
    <w:p>
      <w:pPr>
        <w:spacing w:after="100" w:before="100"/>
        <w:pBdr>
          <w:bottom w:val="single" w:sz="4" w:space="1" w:color="C9C9C9"/>
        </w:pBdr>
      </w:pPr>
    </w:p>
    <w:p>
      <w:pPr>
        <w:keepNext/>
        <w:spacing w:after="60" w:before="0"/>
      </w:pPr>
      <w:r>
        <w:rPr>
          <w:rFonts w:ascii="Calibri" w:hAnsi="Calibri"/>
          <w:b/>
          <w:i w:val="0"/>
          <w:color w:val="1D1D1D"/>
          <w:sz w:val="20"/>
        </w:rPr>
        <w:t>10.  [QUESTION 10]</w:t>
      </w:r>
    </w:p>
    <w:p>
      <w:pPr>
        <w:spacing w:after="100" w:before="100"/>
        <w:pBdr>
          <w:bottom w:val="single" w:sz="4" w:space="1" w:color="C9C9C9"/>
        </w:pBdr>
      </w:pPr>
    </w:p>
    <w:p>
      <w:pPr>
        <w:spacing w:after="100" w:before="100"/>
        <w:pBdr>
          <w:bottom w:val="single" w:sz="4" w:space="1" w:color="C9C9C9"/>
        </w:pBdr>
      </w:pPr>
    </w:p>
    <w:p>
      <w:pPr>
        <w:spacing w:after="100" w:before="100"/>
        <w:pBdr>
          <w:bottom w:val="single" w:sz="4" w:space="1" w:color="C9C9C9"/>
        </w:pBdr>
      </w:pPr>
    </w:p>
    <w:p>
      <w:pPr>
        <w:keepNext/>
        <w:spacing w:after="60" w:before="0"/>
      </w:pPr>
      <w:r>
        <w:rPr>
          <w:rFonts w:ascii="Calibri" w:hAnsi="Calibri"/>
          <w:b/>
          <w:i w:val="0"/>
          <w:color w:val="1D1D1D"/>
          <w:sz w:val="20"/>
        </w:rPr>
        <w:t>11.  [QUESTION 11]</w:t>
      </w:r>
    </w:p>
    <w:p>
      <w:pPr>
        <w:spacing w:after="100" w:before="100"/>
        <w:pBdr>
          <w:bottom w:val="single" w:sz="4" w:space="1" w:color="C9C9C9"/>
        </w:pBdr>
      </w:pPr>
    </w:p>
    <w:p>
      <w:pPr>
        <w:spacing w:after="100" w:before="100"/>
        <w:pBdr>
          <w:bottom w:val="single" w:sz="4" w:space="1" w:color="C9C9C9"/>
        </w:pBdr>
      </w:pPr>
    </w:p>
    <w:p>
      <w:pPr>
        <w:spacing w:after="100" w:before="100"/>
        <w:pBdr>
          <w:bottom w:val="single" w:sz="4" w:space="1" w:color="C9C9C9"/>
        </w:pBdr>
      </w:pPr>
    </w:p>
    <w:p>
      <w:pPr>
        <w:keepNext/>
        <w:spacing w:after="60" w:before="0"/>
      </w:pPr>
      <w:r>
        <w:rPr>
          <w:rFonts w:ascii="Calibri" w:hAnsi="Calibri"/>
          <w:b/>
          <w:i w:val="0"/>
          <w:color w:val="1D1D1D"/>
          <w:sz w:val="20"/>
        </w:rPr>
        <w:t>12.  [QUESTION 12]</w:t>
      </w:r>
    </w:p>
    <w:p>
      <w:pPr>
        <w:spacing w:after="100" w:before="100"/>
        <w:pBdr>
          <w:bottom w:val="single" w:sz="4" w:space="1" w:color="C9C9C9"/>
        </w:pBdr>
      </w:pPr>
    </w:p>
    <w:p>
      <w:pPr>
        <w:spacing w:after="100" w:before="100"/>
        <w:pBdr>
          <w:bottom w:val="single" w:sz="4" w:space="1" w:color="C9C9C9"/>
        </w:pBdr>
      </w:pPr>
    </w:p>
    <w:p>
      <w:pPr>
        <w:spacing w:after="100" w:before="100"/>
        <w:pBdr>
          <w:bottom w:val="single" w:sz="4" w:space="1" w:color="C9C9C9"/>
        </w:pBdr>
      </w:pPr>
    </w:p>
    <w:p>
      <w:pPr>
        <w:keepNext/>
        <w:spacing w:after="60" w:before="0"/>
      </w:pPr>
      <w:r>
        <w:rPr>
          <w:rFonts w:ascii="Calibri" w:hAnsi="Calibri"/>
          <w:b/>
          <w:i w:val="0"/>
          <w:color w:val="1D1D1D"/>
          <w:sz w:val="20"/>
        </w:rPr>
        <w:t>13.  [QUESTION 13]</w:t>
      </w:r>
    </w:p>
    <w:p>
      <w:pPr>
        <w:spacing w:after="100" w:before="100"/>
        <w:pBdr>
          <w:bottom w:val="single" w:sz="4" w:space="1" w:color="C9C9C9"/>
        </w:pBdr>
      </w:pPr>
    </w:p>
    <w:p>
      <w:pPr>
        <w:spacing w:after="100" w:before="100"/>
        <w:pBdr>
          <w:bottom w:val="single" w:sz="4" w:space="1" w:color="C9C9C9"/>
        </w:pBdr>
      </w:pPr>
    </w:p>
    <w:p>
      <w:pPr>
        <w:spacing w:after="100" w:before="100"/>
        <w:pBdr>
          <w:bottom w:val="single" w:sz="4" w:space="1" w:color="C9C9C9"/>
        </w:pBdr>
      </w:pPr>
    </w:p>
    <w:p>
      <w:pPr>
        <w:keepNext/>
        <w:spacing w:after="60" w:before="0"/>
      </w:pPr>
      <w:r>
        <w:rPr>
          <w:rFonts w:ascii="Calibri" w:hAnsi="Calibri"/>
          <w:b/>
          <w:i w:val="0"/>
          <w:color w:val="1D1D1D"/>
          <w:sz w:val="20"/>
        </w:rPr>
        <w:t>14.  [QUESTION 14]</w:t>
      </w:r>
    </w:p>
    <w:p>
      <w:pPr>
        <w:spacing w:after="100" w:before="100"/>
        <w:pBdr>
          <w:bottom w:val="single" w:sz="4" w:space="1" w:color="C9C9C9"/>
        </w:pBdr>
      </w:pPr>
    </w:p>
    <w:p>
      <w:pPr>
        <w:spacing w:after="100" w:before="100"/>
        <w:pBdr>
          <w:bottom w:val="single" w:sz="4" w:space="1" w:color="C9C9C9"/>
        </w:pBdr>
      </w:pPr>
    </w:p>
    <w:p>
      <w:pPr>
        <w:spacing w:after="100" w:before="100"/>
        <w:pBdr>
          <w:bottom w:val="single" w:sz="4" w:space="1" w:color="C9C9C9"/>
        </w:pBdr>
      </w:pPr>
    </w:p>
    <w:p>
      <w:pPr>
        <w:keepNext/>
        <w:spacing w:after="60" w:before="0"/>
      </w:pPr>
      <w:r>
        <w:rPr>
          <w:rFonts w:ascii="Calibri" w:hAnsi="Calibri"/>
          <w:b/>
          <w:i w:val="0"/>
          <w:color w:val="1D1D1D"/>
          <w:sz w:val="20"/>
        </w:rPr>
        <w:t>15.  [QUESTION 15]</w:t>
      </w:r>
    </w:p>
    <w:p>
      <w:pPr>
        <w:spacing w:after="100" w:before="100"/>
        <w:pBdr>
          <w:bottom w:val="single" w:sz="4" w:space="1" w:color="C9C9C9"/>
        </w:pBdr>
      </w:pPr>
    </w:p>
    <w:p>
      <w:pPr>
        <w:spacing w:after="100" w:before="100"/>
        <w:pBdr>
          <w:bottom w:val="single" w:sz="4" w:space="1" w:color="C9C9C9"/>
        </w:pBdr>
      </w:pPr>
    </w:p>
    <w:p>
      <w:pPr>
        <w:spacing w:after="100" w:before="100"/>
        <w:pBdr>
          <w:bottom w:val="single" w:sz="4" w:space="1" w:color="C9C9C9"/>
        </w:pBdr>
      </w:pPr>
    </w:p>
    <w:p>
      <w:pPr>
        <w:pStyle w:val="Heading2"/>
        <w:keepNext/>
        <w:spacing w:after="80" w:before="160"/>
      </w:pPr>
      <w:r>
        <w:rPr>
          <w:rFonts w:ascii="Calibri" w:hAnsi="Calibri"/>
          <w:b/>
          <w:color w:val="1D1D1D"/>
          <w:sz w:val="22"/>
        </w:rPr>
        <w:t>Part C.  The close</w:t>
      </w:r>
    </w:p>
    <w:p>
      <w:pPr>
        <w:keepNext w:val="0"/>
        <w:spacing w:after="60" w:before="0"/>
        <w:ind w:left="216"/>
      </w:pPr>
      <w:r>
        <w:rPr>
          <w:rFonts w:ascii="Calibri" w:hAnsi="Calibri"/>
          <w:b w:val="0"/>
          <w:i w:val="0"/>
          <w:color w:val="1D1D1D"/>
          <w:sz w:val="20"/>
        </w:rPr>
        <w:t>•  Would you consider coming back? If so, what would have to be true?</w:t>
      </w:r>
    </w:p>
    <w:p>
      <w:pPr>
        <w:spacing w:after="100" w:before="100"/>
        <w:pBdr>
          <w:bottom w:val="single" w:sz="4" w:space="1" w:color="C9C9C9"/>
        </w:pBdr>
      </w:pPr>
    </w:p>
    <w:p>
      <w:pPr>
        <w:spacing w:after="100" w:before="100"/>
        <w:pBdr>
          <w:bottom w:val="single" w:sz="4" w:space="1" w:color="C9C9C9"/>
        </w:pBdr>
      </w:pPr>
    </w:p>
    <w:p>
      <w:pPr>
        <w:keepNext w:val="0"/>
        <w:spacing w:after="60" w:before="0"/>
        <w:ind w:left="216"/>
      </w:pPr>
      <w:r>
        <w:rPr>
          <w:rFonts w:ascii="Calibri" w:hAnsi="Calibri"/>
          <w:b w:val="0"/>
          <w:i w:val="0"/>
          <w:color w:val="1D1D1D"/>
          <w:sz w:val="20"/>
        </w:rPr>
        <w:t>•  Is there anything I should have asked and did not?</w:t>
      </w:r>
    </w:p>
    <w:p>
      <w:pPr>
        <w:spacing w:after="100" w:before="100"/>
        <w:pBdr>
          <w:bottom w:val="single" w:sz="4" w:space="1" w:color="C9C9C9"/>
        </w:pBdr>
      </w:pPr>
    </w:p>
    <w:p>
      <w:pPr>
        <w:spacing w:after="100" w:before="100"/>
        <w:pBdr>
          <w:bottom w:val="single" w:sz="4" w:space="1" w:color="C9C9C9"/>
        </w:pBdr>
      </w:pPr>
    </w:p>
    <w:p>
      <w:pPr>
        <w:keepNext w:val="0"/>
        <w:spacing w:after="60" w:before="0"/>
        <w:ind w:left="216"/>
      </w:pPr>
      <w:r>
        <w:rPr>
          <w:rFonts w:ascii="Calibri" w:hAnsi="Calibri"/>
          <w:b w:val="0"/>
          <w:i w:val="0"/>
          <w:color w:val="1D1D1D"/>
          <w:sz w:val="20"/>
        </w:rPr>
        <w:t>•  Is there anything you want recorded, and anything you want kept out of the written notes?</w:t>
      </w:r>
    </w:p>
    <w:p>
      <w:pPr>
        <w:spacing w:after="100" w:before="100"/>
        <w:pBdr>
          <w:bottom w:val="single" w:sz="4" w:space="1" w:color="C9C9C9"/>
        </w:pBdr>
      </w:pPr>
    </w:p>
    <w:p>
      <w:pPr>
        <w:spacing w:after="100" w:before="100"/>
        <w:pBdr>
          <w:bottom w:val="single" w:sz="4" w:space="1" w:color="C9C9C9"/>
        </w:pBdr>
      </w:pPr>
    </w:p>
    <w:p>
      <w:pPr>
        <w:pStyle w:val="Heading2"/>
        <w:keepNext/>
        <w:spacing w:after="80" w:before="160"/>
      </w:pPr>
      <w:r>
        <w:rPr>
          <w:rFonts w:ascii="Calibri" w:hAnsi="Calibri"/>
          <w:b/>
          <w:color w:val="1D1D1D"/>
          <w:sz w:val="22"/>
        </w:rPr>
        <w:t>Part D.  Interviewer's routing</w:t>
      </w:r>
    </w:p>
    <w:p>
      <w:pPr>
        <w:keepNext w:val="0"/>
        <w:spacing w:after="120" w:before="0"/>
      </w:pPr>
      <w:r>
        <w:rPr>
          <w:rFonts w:ascii="Calibri" w:hAnsi="Calibri"/>
          <w:b w:val="0"/>
          <w:i/>
          <w:color w:val="565656"/>
          <w:sz w:val="18"/>
        </w:rPr>
        <w:t>Not for the leaver to fill in, and not part of the attrition record. This is the part that decides where anything in section 4 goes.</w:t>
      </w:r>
    </w:p>
    <w:tbl>
      <w:tblPr>
        <w:tblStyle w:val="TableGrid"/>
        <w:tblW w:type="auto" w:w="0"/>
        <w:tblLook w:firstColumn="1" w:firstRow="1" w:lastColumn="0" w:lastRow="0" w:noHBand="0" w:noVBand="1" w:val="04A0"/>
      </w:tblPr>
      <w:tblGrid>
        <w:gridCol w:w="3216"/>
        <w:gridCol w:w="3216"/>
        <w:gridCol w:w="3216"/>
      </w:tblGrid>
      <w:tr>
        <w:tc>
          <w:tcPr>
            <w:tcW w:type="dxa" w:w="3744"/>
            <w:shd w:val="clear" w:fill="008CDB"/>
          </w:tcPr>
          <w:p>
            <w:pPr>
              <w:spacing w:after="40" w:before="40"/>
            </w:pPr>
            <w:r/>
            <w:r>
              <w:rPr>
                <w:rFonts w:ascii="Calibri" w:hAnsi="Calibri"/>
                <w:b/>
                <w:color w:val="FFFFFF"/>
                <w:sz w:val="18"/>
              </w:rPr>
              <w:t>Question</w:t>
            </w:r>
          </w:p>
        </w:tc>
        <w:tc>
          <w:tcPr>
            <w:tcW w:type="dxa" w:w="1584"/>
            <w:shd w:val="clear" w:fill="008CDB"/>
          </w:tcPr>
          <w:p>
            <w:pPr>
              <w:spacing w:after="40" w:before="40"/>
            </w:pPr>
            <w:r/>
            <w:r>
              <w:rPr>
                <w:rFonts w:ascii="Calibri" w:hAnsi="Calibri"/>
                <w:b/>
                <w:color w:val="FFFFFF"/>
                <w:sz w:val="18"/>
              </w:rPr>
              <w:t>Answer</w:t>
            </w:r>
          </w:p>
        </w:tc>
        <w:tc>
          <w:tcPr>
            <w:tcW w:type="dxa" w:w="4464"/>
            <w:shd w:val="clear" w:fill="008CDB"/>
          </w:tcPr>
          <w:p>
            <w:pPr>
              <w:spacing w:after="40" w:before="40"/>
            </w:pPr>
            <w:r/>
            <w:r>
              <w:rPr>
                <w:rFonts w:ascii="Calibri" w:hAnsi="Calibri"/>
                <w:b/>
                <w:color w:val="FFFFFF"/>
                <w:sz w:val="18"/>
              </w:rPr>
              <w:t>If yes, where it went and when</w:t>
            </w:r>
          </w:p>
        </w:tc>
      </w:tr>
      <w:tr>
        <w:tc>
          <w:tcPr>
            <w:tcW w:type="dxa" w:w="3744"/>
          </w:tcPr>
          <w:p>
            <w:pPr>
              <w:spacing w:after="40" w:before="40"/>
            </w:pPr>
            <w:r/>
            <w:r>
              <w:rPr>
                <w:rFonts w:ascii="Calibri" w:hAnsi="Calibri"/>
                <w:color w:val="565656"/>
                <w:sz w:val="18"/>
              </w:rPr>
              <w:t>Did anything come up that section 4 covers?</w:t>
            </w:r>
          </w:p>
        </w:tc>
        <w:tc>
          <w:tcPr>
            <w:tcW w:type="dxa" w:w="1584"/>
          </w:tcPr>
          <w:p>
            <w:pPr>
              <w:spacing w:after="40" w:before="40"/>
            </w:pPr>
            <w:r/>
            <w:r>
              <w:rPr>
                <w:rFonts w:ascii="Calibri" w:hAnsi="Calibri"/>
                <w:color w:val="565656"/>
                <w:sz w:val="18"/>
              </w:rPr>
              <w:t>[YES / NO]</w:t>
            </w:r>
          </w:p>
        </w:tc>
        <w:tc>
          <w:tcPr>
            <w:tcW w:type="dxa" w:w="4464"/>
          </w:tcPr>
          <w:p>
            <w:pPr>
              <w:spacing w:after="40" w:before="40"/>
            </w:pPr>
            <w:r/>
            <w:r>
              <w:rPr>
                <w:rFonts w:ascii="Calibri" w:hAnsi="Calibri"/>
                <w:color w:val="565656"/>
                <w:sz w:val="18"/>
              </w:rPr>
              <w:t>[ROUTE AND DATE]</w:t>
            </w:r>
          </w:p>
        </w:tc>
      </w:tr>
      <w:tr>
        <w:tc>
          <w:tcPr>
            <w:tcW w:type="dxa" w:w="3744"/>
          </w:tcPr>
          <w:p>
            <w:pPr>
              <w:spacing w:after="40" w:before="40"/>
            </w:pPr>
            <w:r/>
            <w:r>
              <w:rPr>
                <w:rFonts w:ascii="Calibri" w:hAnsi="Calibri"/>
                <w:color w:val="565656"/>
                <w:sz w:val="18"/>
              </w:rPr>
              <w:t>Was a disclosure of harassment made?</w:t>
            </w:r>
          </w:p>
        </w:tc>
        <w:tc>
          <w:tcPr>
            <w:tcW w:type="dxa" w:w="1584"/>
          </w:tcPr>
          <w:p>
            <w:pPr>
              <w:spacing w:after="40" w:before="40"/>
            </w:pPr>
            <w:r/>
            <w:r>
              <w:rPr>
                <w:rFonts w:ascii="Calibri" w:hAnsi="Calibri"/>
                <w:color w:val="565656"/>
                <w:sz w:val="18"/>
              </w:rPr>
              <w:t>[YES / NO]</w:t>
            </w:r>
          </w:p>
        </w:tc>
        <w:tc>
          <w:tcPr>
            <w:tcW w:type="dxa" w:w="4464"/>
          </w:tcPr>
          <w:p>
            <w:pPr>
              <w:spacing w:after="40" w:before="40"/>
            </w:pPr>
            <w:r/>
            <w:r>
              <w:rPr>
                <w:rFonts w:ascii="Calibri" w:hAnsi="Calibri"/>
                <w:color w:val="565656"/>
                <w:sz w:val="18"/>
              </w:rPr>
              <w:t>[ROUTED TO THE INTERNAL COMMITTEE / LOCAL COMMITTEE ON DD-MMM-YYYY. DELETE WHICHEVER IS NOT YOURS. NO DETAIL IS RECORDED HERE.]</w:t>
            </w:r>
          </w:p>
        </w:tc>
      </w:tr>
      <w:tr>
        <w:tc>
          <w:tcPr>
            <w:tcW w:type="dxa" w:w="3744"/>
          </w:tcPr>
          <w:p>
            <w:pPr>
              <w:spacing w:after="40" w:before="40"/>
            </w:pPr>
            <w:r/>
            <w:r>
              <w:rPr>
                <w:rFonts w:ascii="Calibri" w:hAnsi="Calibri"/>
                <w:color w:val="565656"/>
                <w:sz w:val="18"/>
              </w:rPr>
              <w:t>Was a claim made that money is owed?</w:t>
            </w:r>
          </w:p>
        </w:tc>
        <w:tc>
          <w:tcPr>
            <w:tcW w:type="dxa" w:w="1584"/>
          </w:tcPr>
          <w:p>
            <w:pPr>
              <w:spacing w:after="40" w:before="40"/>
            </w:pPr>
            <w:r/>
            <w:r>
              <w:rPr>
                <w:rFonts w:ascii="Calibri" w:hAnsi="Calibri"/>
                <w:color w:val="565656"/>
                <w:sz w:val="18"/>
              </w:rPr>
              <w:t>[YES / NO]</w:t>
            </w:r>
          </w:p>
        </w:tc>
        <w:tc>
          <w:tcPr>
            <w:tcW w:type="dxa" w:w="4464"/>
          </w:tcPr>
          <w:p>
            <w:pPr>
              <w:spacing w:after="40" w:before="40"/>
            </w:pPr>
            <w:r/>
            <w:r>
              <w:rPr>
                <w:rFonts w:ascii="Calibri" w:hAnsi="Calibri"/>
                <w:color w:val="565656"/>
                <w:sz w:val="18"/>
              </w:rPr>
              <w:t>[ROUTED TO SETTLEMENT ON DD-MMM-YYYY]</w:t>
            </w:r>
          </w:p>
        </w:tc>
      </w:tr>
      <w:tr>
        <w:tc>
          <w:tcPr>
            <w:tcW w:type="dxa" w:w="3744"/>
          </w:tcPr>
          <w:p>
            <w:pPr>
              <w:spacing w:after="40" w:before="40"/>
            </w:pPr>
            <w:r/>
            <w:r>
              <w:rPr>
                <w:rFonts w:ascii="Calibri" w:hAnsi="Calibri"/>
                <w:color w:val="565656"/>
                <w:sz w:val="18"/>
              </w:rPr>
              <w:t>Was anything said about access, files or customer data?</w:t>
            </w:r>
          </w:p>
        </w:tc>
        <w:tc>
          <w:tcPr>
            <w:tcW w:type="dxa" w:w="1584"/>
          </w:tcPr>
          <w:p>
            <w:pPr>
              <w:spacing w:after="40" w:before="40"/>
            </w:pPr>
            <w:r/>
            <w:r>
              <w:rPr>
                <w:rFonts w:ascii="Calibri" w:hAnsi="Calibri"/>
                <w:color w:val="565656"/>
                <w:sz w:val="18"/>
              </w:rPr>
              <w:t>[YES / NO]</w:t>
            </w:r>
          </w:p>
        </w:tc>
        <w:tc>
          <w:tcPr>
            <w:tcW w:type="dxa" w:w="4464"/>
          </w:tcPr>
          <w:p>
            <w:pPr>
              <w:spacing w:after="40" w:before="40"/>
            </w:pPr>
            <w:r/>
            <w:r>
              <w:rPr>
                <w:rFonts w:ascii="Calibri" w:hAnsi="Calibri"/>
                <w:color w:val="565656"/>
                <w:sz w:val="18"/>
              </w:rPr>
              <w:t>[ROUTED TO IT AND DATA OWNER ON DD-MMM-YYYY]</w:t>
            </w:r>
          </w:p>
        </w:tc>
      </w:tr>
      <w:tr>
        <w:tc>
          <w:tcPr>
            <w:tcW w:type="dxa" w:w="3744"/>
          </w:tcPr>
          <w:p>
            <w:pPr>
              <w:spacing w:after="40" w:before="40"/>
            </w:pPr>
            <w:r/>
            <w:r>
              <w:rPr>
                <w:rFonts w:ascii="Calibri" w:hAnsi="Calibri"/>
                <w:color w:val="565656"/>
                <w:sz w:val="18"/>
              </w:rPr>
              <w:t>Anything the leaver asked to keep out of the notes?</w:t>
            </w:r>
          </w:p>
        </w:tc>
        <w:tc>
          <w:tcPr>
            <w:tcW w:type="dxa" w:w="1584"/>
          </w:tcPr>
          <w:p>
            <w:pPr>
              <w:spacing w:after="40" w:before="40"/>
            </w:pPr>
            <w:r/>
            <w:r>
              <w:rPr>
                <w:rFonts w:ascii="Calibri" w:hAnsi="Calibri"/>
                <w:color w:val="565656"/>
                <w:sz w:val="18"/>
              </w:rPr>
              <w:t>[YES / NO]</w:t>
            </w:r>
          </w:p>
        </w:tc>
        <w:tc>
          <w:tcPr>
            <w:tcW w:type="dxa" w:w="4464"/>
          </w:tcPr>
          <w:p>
            <w:pPr>
              <w:spacing w:after="40" w:before="40"/>
            </w:pPr>
            <w:r/>
            <w:r>
              <w:rPr>
                <w:rFonts w:ascii="Calibri" w:hAnsi="Calibri"/>
                <w:color w:val="565656"/>
                <w:sz w:val="18"/>
              </w:rPr>
              <w:t>[HONOURED. NOT RECORDED.]</w:t>
            </w:r>
          </w:p>
        </w:tc>
      </w:tr>
    </w:tbl>
    <w:p>
      <w:pPr>
        <w:spacing w:after="80"/>
      </w:pPr>
    </w:p>
    <w:p>
      <w:pPr>
        <w:keepNext w:val="0"/>
        <w:spacing w:after="160" w:before="0"/>
      </w:pPr>
      <w:r>
        <w:rPr>
          <w:rFonts w:ascii="Calibri" w:hAnsi="Calibri"/>
          <w:b w:val="0"/>
          <w:i w:val="0"/>
          <w:color w:val="565656"/>
          <w:sz w:val="19"/>
        </w:rPr>
        <w:t>Interviewer  [NAME]        Date  [DD-MMM-YYYY]</w:t>
      </w:r>
    </w:p>
    <w:p>
      <w:r>
        <w:br w:type="page"/>
      </w:r>
    </w:p>
    <w:p>
      <w:pPr>
        <w:pStyle w:val="Heading1"/>
        <w:keepNext/>
        <w:spacing w:after="200" w:before="80"/>
        <w:ind w:left="115"/>
        <w:shd w:val="clear" w:fill="008CDB"/>
      </w:pPr>
      <w:r>
        <w:rPr>
          <w:rFonts w:ascii="Calibri" w:hAnsi="Calibri"/>
          <w:b/>
          <w:color w:val="FFFFFF"/>
          <w:sz w:val="22"/>
        </w:rPr>
        <w:t>3.  The question bank</w:t>
      </w:r>
    </w:p>
    <w:p>
      <w:pPr>
        <w:keepNext w:val="0"/>
        <w:spacing w:after="160" w:before="0"/>
      </w:pPr>
      <w:r>
        <w:rPr>
          <w:rFonts w:ascii="Calibri" w:hAnsi="Calibri"/>
          <w:b w:val="0"/>
          <w:i w:val="0"/>
          <w:color w:val="565656"/>
          <w:sz w:val="20"/>
        </w:rPr>
        <w:t>Thirty questions, grouped by what you are trying to learn. The third column is the point: it says what each question actually produces, because half the questions on a standard exit form produce a polite answer and nothing else. Pick ten to fifteen and keep them stable.</w:t>
      </w:r>
    </w:p>
    <w:p>
      <w:pPr>
        <w:pStyle w:val="Heading2"/>
        <w:keepNext/>
        <w:spacing w:after="80" w:before="160"/>
      </w:pPr>
      <w:r>
        <w:rPr>
          <w:rFonts w:ascii="Calibri" w:hAnsi="Calibri"/>
          <w:b/>
          <w:color w:val="1D1D1D"/>
          <w:sz w:val="22"/>
        </w:rPr>
        <w:t>Why they are really leaving</w:t>
      </w:r>
    </w:p>
    <w:p>
      <w:pPr>
        <w:keepNext w:val="0"/>
        <w:spacing w:after="40" w:before="0"/>
        <w:ind w:left="216"/>
      </w:pPr>
      <w:r>
        <w:rPr>
          <w:rFonts w:ascii="Calibri" w:hAnsi="Calibri"/>
          <w:b w:val="0"/>
          <w:i w:val="0"/>
          <w:color w:val="1D1D1D"/>
          <w:sz w:val="20"/>
        </w:rPr>
        <w:t>•  What made you start looking?</w:t>
      </w:r>
    </w:p>
    <w:p>
      <w:pPr>
        <w:keepNext w:val="0"/>
        <w:spacing w:after="100" w:before="0"/>
        <w:ind w:left="504"/>
      </w:pPr>
      <w:r>
        <w:rPr>
          <w:rFonts w:ascii="Calibri" w:hAnsi="Calibri"/>
          <w:b w:val="0"/>
          <w:i/>
          <w:color w:val="565656"/>
          <w:sz w:val="18"/>
        </w:rPr>
        <w:t>Ask this before 'why are you leaving'. The trigger and the reason are different, and the trigger is the one you can act on.</w:t>
      </w:r>
    </w:p>
    <w:p>
      <w:pPr>
        <w:keepNext w:val="0"/>
        <w:spacing w:after="40" w:before="0"/>
        <w:ind w:left="216"/>
      </w:pPr>
      <w:r>
        <w:rPr>
          <w:rFonts w:ascii="Calibri" w:hAnsi="Calibri"/>
          <w:b w:val="0"/>
          <w:i w:val="0"/>
          <w:color w:val="1D1D1D"/>
          <w:sz w:val="20"/>
        </w:rPr>
        <w:t>•  When did you first think about leaving?</w:t>
      </w:r>
    </w:p>
    <w:p>
      <w:pPr>
        <w:keepNext w:val="0"/>
        <w:spacing w:after="100" w:before="0"/>
        <w:ind w:left="504"/>
      </w:pPr>
      <w:r>
        <w:rPr>
          <w:rFonts w:ascii="Calibri" w:hAnsi="Calibri"/>
          <w:b w:val="0"/>
          <w:i/>
          <w:color w:val="565656"/>
          <w:sz w:val="18"/>
        </w:rPr>
        <w:t>Dates the decision. If it predates the thing they blame, the thing they blame is not the cause.</w:t>
      </w:r>
    </w:p>
    <w:p>
      <w:pPr>
        <w:keepNext w:val="0"/>
        <w:spacing w:after="40" w:before="0"/>
        <w:ind w:left="216"/>
      </w:pPr>
      <w:r>
        <w:rPr>
          <w:rFonts w:ascii="Calibri" w:hAnsi="Calibri"/>
          <w:b w:val="0"/>
          <w:i w:val="0"/>
          <w:color w:val="1D1D1D"/>
          <w:sz w:val="20"/>
        </w:rPr>
        <w:t>•  Was there a moment where this became definite?</w:t>
      </w:r>
    </w:p>
    <w:p>
      <w:pPr>
        <w:keepNext w:val="0"/>
        <w:spacing w:after="100" w:before="0"/>
        <w:ind w:left="504"/>
      </w:pPr>
      <w:r>
        <w:rPr>
          <w:rFonts w:ascii="Calibri" w:hAnsi="Calibri"/>
          <w:b w:val="0"/>
          <w:i/>
          <w:color w:val="565656"/>
          <w:sz w:val="18"/>
        </w:rPr>
        <w:t>People remember the moment. It is usually specific and usually fixable.</w:t>
      </w:r>
    </w:p>
    <w:p>
      <w:pPr>
        <w:keepNext w:val="0"/>
        <w:spacing w:after="40" w:before="0"/>
        <w:ind w:left="216"/>
      </w:pPr>
      <w:r>
        <w:rPr>
          <w:rFonts w:ascii="Calibri" w:hAnsi="Calibri"/>
          <w:b w:val="0"/>
          <w:i w:val="0"/>
          <w:color w:val="1D1D1D"/>
          <w:sz w:val="20"/>
        </w:rPr>
        <w:t>•  What would have had to change for you to stay?</w:t>
      </w:r>
    </w:p>
    <w:p>
      <w:pPr>
        <w:keepNext w:val="0"/>
        <w:spacing w:after="100" w:before="0"/>
        <w:ind w:left="504"/>
      </w:pPr>
      <w:r>
        <w:rPr>
          <w:rFonts w:ascii="Calibri" w:hAnsi="Calibri"/>
          <w:b w:val="0"/>
          <w:i/>
          <w:color w:val="565656"/>
          <w:sz w:val="18"/>
        </w:rPr>
        <w:t>Better than 'why are you leaving' because it asks for a counterfactual rather than a justification.</w:t>
      </w:r>
    </w:p>
    <w:p>
      <w:pPr>
        <w:keepNext w:val="0"/>
        <w:spacing w:after="40" w:before="0"/>
        <w:ind w:left="216"/>
      </w:pPr>
      <w:r>
        <w:rPr>
          <w:rFonts w:ascii="Calibri" w:hAnsi="Calibri"/>
          <w:b w:val="0"/>
          <w:i w:val="0"/>
          <w:color w:val="1D1D1D"/>
          <w:sz w:val="20"/>
        </w:rPr>
        <w:t>•  Did you raise any of this before you decided? With whom, and what happened?</w:t>
      </w:r>
    </w:p>
    <w:p>
      <w:pPr>
        <w:keepNext w:val="0"/>
        <w:spacing w:after="100" w:before="0"/>
        <w:ind w:left="504"/>
      </w:pPr>
      <w:r>
        <w:rPr>
          <w:rFonts w:ascii="Calibri" w:hAnsi="Calibri"/>
          <w:b w:val="0"/>
          <w:i/>
          <w:color w:val="565656"/>
          <w:sz w:val="18"/>
        </w:rPr>
        <w:t>The most useful question on this list. It tells you whether your escalation routes work at all.</w:t>
      </w:r>
    </w:p>
    <w:p>
      <w:pPr>
        <w:keepNext w:val="0"/>
        <w:spacing w:after="40" w:before="0"/>
        <w:ind w:left="216"/>
      </w:pPr>
      <w:r>
        <w:rPr>
          <w:rFonts w:ascii="Calibri" w:hAnsi="Calibri"/>
          <w:b w:val="0"/>
          <w:i w:val="0"/>
          <w:color w:val="1D1D1D"/>
          <w:sz w:val="20"/>
        </w:rPr>
        <w:t>•  Is there anything you did not raise, and what stopped you?</w:t>
      </w:r>
    </w:p>
    <w:p>
      <w:pPr>
        <w:keepNext w:val="0"/>
        <w:spacing w:after="100" w:before="0"/>
        <w:ind w:left="504"/>
      </w:pPr>
      <w:r>
        <w:rPr>
          <w:rFonts w:ascii="Calibri" w:hAnsi="Calibri"/>
          <w:b w:val="0"/>
          <w:i/>
          <w:color w:val="565656"/>
          <w:sz w:val="18"/>
        </w:rPr>
        <w:t>This is the question that surfaces a disclosure. Read section 4 before you ask it, and know what you will do with the answer.</w:t>
      </w:r>
    </w:p>
    <w:p>
      <w:pPr>
        <w:pStyle w:val="Heading2"/>
        <w:keepNext/>
        <w:spacing w:after="80" w:before="160"/>
      </w:pPr>
      <w:r>
        <w:rPr>
          <w:rFonts w:ascii="Calibri" w:hAnsi="Calibri"/>
          <w:b/>
          <w:color w:val="1D1D1D"/>
          <w:sz w:val="22"/>
        </w:rPr>
        <w:t>The manager relationship</w:t>
      </w:r>
    </w:p>
    <w:p>
      <w:pPr>
        <w:keepNext w:val="0"/>
        <w:spacing w:after="40" w:before="0"/>
        <w:ind w:left="216"/>
      </w:pPr>
      <w:r>
        <w:rPr>
          <w:rFonts w:ascii="Calibri" w:hAnsi="Calibri"/>
          <w:b w:val="0"/>
          <w:i w:val="0"/>
          <w:color w:val="1D1D1D"/>
          <w:sz w:val="20"/>
        </w:rPr>
        <w:t>•  How would you describe the way you and your manager worked together?</w:t>
      </w:r>
    </w:p>
    <w:p>
      <w:pPr>
        <w:keepNext w:val="0"/>
        <w:spacing w:after="100" w:before="0"/>
        <w:ind w:left="504"/>
      </w:pPr>
      <w:r>
        <w:rPr>
          <w:rFonts w:ascii="Calibri" w:hAnsi="Calibri"/>
          <w:b w:val="0"/>
          <w:i/>
          <w:color w:val="565656"/>
          <w:sz w:val="18"/>
        </w:rPr>
        <w:t>Open, not leading. A rating here gets you a 3 out of 5 and nothing else.</w:t>
      </w:r>
    </w:p>
    <w:p>
      <w:pPr>
        <w:keepNext w:val="0"/>
        <w:spacing w:after="40" w:before="0"/>
        <w:ind w:left="216"/>
      </w:pPr>
      <w:r>
        <w:rPr>
          <w:rFonts w:ascii="Calibri" w:hAnsi="Calibri"/>
          <w:b w:val="0"/>
          <w:i w:val="0"/>
          <w:color w:val="1D1D1D"/>
          <w:sz w:val="20"/>
        </w:rPr>
        <w:t>•  What did your manager do that helped you most?</w:t>
      </w:r>
    </w:p>
    <w:p>
      <w:pPr>
        <w:keepNext w:val="0"/>
        <w:spacing w:after="100" w:before="0"/>
        <w:ind w:left="504"/>
      </w:pPr>
      <w:r>
        <w:rPr>
          <w:rFonts w:ascii="Calibri" w:hAnsi="Calibri"/>
          <w:b w:val="0"/>
          <w:i/>
          <w:color w:val="565656"/>
          <w:sz w:val="18"/>
        </w:rPr>
        <w:t>Ask the positive first. It makes the next answer honest.</w:t>
      </w:r>
    </w:p>
    <w:p>
      <w:pPr>
        <w:keepNext w:val="0"/>
        <w:spacing w:after="40" w:before="0"/>
        <w:ind w:left="216"/>
      </w:pPr>
      <w:r>
        <w:rPr>
          <w:rFonts w:ascii="Calibri" w:hAnsi="Calibri"/>
          <w:b w:val="0"/>
          <w:i w:val="0"/>
          <w:color w:val="1D1D1D"/>
          <w:sz w:val="20"/>
        </w:rPr>
        <w:t>•  What would you have wanted more of, or less of, from them?</w:t>
      </w:r>
    </w:p>
    <w:p>
      <w:pPr>
        <w:keepNext w:val="0"/>
        <w:spacing w:after="100" w:before="0"/>
        <w:ind w:left="504"/>
      </w:pPr>
      <w:r>
        <w:rPr>
          <w:rFonts w:ascii="Calibri" w:hAnsi="Calibri"/>
          <w:b w:val="0"/>
          <w:i/>
          <w:color w:val="565656"/>
          <w:sz w:val="18"/>
        </w:rPr>
        <w:t>Produces something actionable where 'were you satisfied' does not.</w:t>
      </w:r>
    </w:p>
    <w:p>
      <w:pPr>
        <w:keepNext w:val="0"/>
        <w:spacing w:after="40" w:before="0"/>
        <w:ind w:left="216"/>
      </w:pPr>
      <w:r>
        <w:rPr>
          <w:rFonts w:ascii="Calibri" w:hAnsi="Calibri"/>
          <w:b w:val="0"/>
          <w:i w:val="0"/>
          <w:color w:val="1D1D1D"/>
          <w:sz w:val="20"/>
        </w:rPr>
        <w:t>•  How often did you get feedback, and was it useful?</w:t>
      </w:r>
    </w:p>
    <w:p>
      <w:pPr>
        <w:keepNext w:val="0"/>
        <w:spacing w:after="100" w:before="0"/>
        <w:ind w:left="504"/>
      </w:pPr>
      <w:r>
        <w:rPr>
          <w:rFonts w:ascii="Calibri" w:hAnsi="Calibri"/>
          <w:b w:val="0"/>
          <w:i/>
          <w:color w:val="565656"/>
          <w:sz w:val="18"/>
        </w:rPr>
        <w:t>Frequency is checkable against your own process. Usefulness is not, but the gap between the two is informative.</w:t>
      </w:r>
    </w:p>
    <w:p>
      <w:pPr>
        <w:keepNext w:val="0"/>
        <w:spacing w:after="40" w:before="0"/>
        <w:ind w:left="216"/>
      </w:pPr>
      <w:r>
        <w:rPr>
          <w:rFonts w:ascii="Calibri" w:hAnsi="Calibri"/>
          <w:b w:val="0"/>
          <w:i w:val="0"/>
          <w:color w:val="1D1D1D"/>
          <w:sz w:val="20"/>
        </w:rPr>
        <w:t>•  Did you know what was expected of you?</w:t>
      </w:r>
    </w:p>
    <w:p>
      <w:pPr>
        <w:keepNext w:val="0"/>
        <w:spacing w:after="100" w:before="0"/>
        <w:ind w:left="504"/>
      </w:pPr>
      <w:r>
        <w:rPr>
          <w:rFonts w:ascii="Calibri" w:hAnsi="Calibri"/>
          <w:b w:val="0"/>
          <w:i/>
          <w:color w:val="565656"/>
          <w:sz w:val="18"/>
        </w:rPr>
        <w:t>A tenure-sensitive question. Under six months it is an onboarding failure; after two years it is a management one.</w:t>
      </w:r>
    </w:p>
    <w:p>
      <w:pPr>
        <w:pStyle w:val="Heading2"/>
        <w:keepNext/>
        <w:spacing w:after="80" w:before="160"/>
      </w:pPr>
      <w:r>
        <w:rPr>
          <w:rFonts w:ascii="Calibri" w:hAnsi="Calibri"/>
          <w:b/>
          <w:color w:val="1D1D1D"/>
          <w:sz w:val="22"/>
        </w:rPr>
        <w:t>Role, growth and workload</w:t>
      </w:r>
    </w:p>
    <w:p>
      <w:pPr>
        <w:keepNext w:val="0"/>
        <w:spacing w:after="40" w:before="0"/>
        <w:ind w:left="216"/>
      </w:pPr>
      <w:r>
        <w:rPr>
          <w:rFonts w:ascii="Calibri" w:hAnsi="Calibri"/>
          <w:b w:val="0"/>
          <w:i w:val="0"/>
          <w:color w:val="1D1D1D"/>
          <w:sz w:val="20"/>
        </w:rPr>
        <w:t>•  Did the job turn out to be the job you were hired for?</w:t>
      </w:r>
    </w:p>
    <w:p>
      <w:pPr>
        <w:keepNext w:val="0"/>
        <w:spacing w:after="100" w:before="0"/>
        <w:ind w:left="504"/>
      </w:pPr>
      <w:r>
        <w:rPr>
          <w:rFonts w:ascii="Calibri" w:hAnsi="Calibri"/>
          <w:b w:val="0"/>
          <w:i/>
          <w:color w:val="565656"/>
          <w:sz w:val="18"/>
        </w:rPr>
        <w:t>The single best predictor of an early exit, and it points straight at your job descriptions.</w:t>
      </w:r>
    </w:p>
    <w:p>
      <w:pPr>
        <w:keepNext w:val="0"/>
        <w:spacing w:after="40" w:before="0"/>
        <w:ind w:left="216"/>
      </w:pPr>
      <w:r>
        <w:rPr>
          <w:rFonts w:ascii="Calibri" w:hAnsi="Calibri"/>
          <w:b w:val="0"/>
          <w:i w:val="0"/>
          <w:color w:val="1D1D1D"/>
          <w:sz w:val="20"/>
        </w:rPr>
        <w:t>•  What did a bad week look like here?</w:t>
      </w:r>
    </w:p>
    <w:p>
      <w:pPr>
        <w:keepNext w:val="0"/>
        <w:spacing w:after="100" w:before="0"/>
        <w:ind w:left="504"/>
      </w:pPr>
      <w:r>
        <w:rPr>
          <w:rFonts w:ascii="Calibri" w:hAnsi="Calibri"/>
          <w:b w:val="0"/>
          <w:i/>
          <w:color w:val="565656"/>
          <w:sz w:val="18"/>
        </w:rPr>
        <w:t>Concrete. 'How was your workload' gets you 'fine'.</w:t>
      </w:r>
    </w:p>
    <w:p>
      <w:pPr>
        <w:keepNext w:val="0"/>
        <w:spacing w:after="40" w:before="0"/>
        <w:ind w:left="216"/>
      </w:pPr>
      <w:r>
        <w:rPr>
          <w:rFonts w:ascii="Calibri" w:hAnsi="Calibri"/>
          <w:b w:val="0"/>
          <w:i w:val="0"/>
          <w:color w:val="1D1D1D"/>
          <w:sz w:val="20"/>
        </w:rPr>
        <w:t>•  Where did you want to get to, and did you believe you could get there?</w:t>
      </w:r>
    </w:p>
    <w:p>
      <w:pPr>
        <w:keepNext w:val="0"/>
        <w:spacing w:after="100" w:before="0"/>
        <w:ind w:left="504"/>
      </w:pPr>
      <w:r>
        <w:rPr>
          <w:rFonts w:ascii="Calibri" w:hAnsi="Calibri"/>
          <w:b w:val="0"/>
          <w:i/>
          <w:color w:val="565656"/>
          <w:sz w:val="18"/>
        </w:rPr>
        <w:t>Separates whether the path existed from whether they could see it.</w:t>
      </w:r>
    </w:p>
    <w:p>
      <w:pPr>
        <w:keepNext w:val="0"/>
        <w:spacing w:after="40" w:before="0"/>
        <w:ind w:left="216"/>
      </w:pPr>
      <w:r>
        <w:rPr>
          <w:rFonts w:ascii="Calibri" w:hAnsi="Calibri"/>
          <w:b w:val="0"/>
          <w:i w:val="0"/>
          <w:color w:val="1D1D1D"/>
          <w:sz w:val="20"/>
        </w:rPr>
        <w:t>•  What did you learn here that you will use next?</w:t>
      </w:r>
    </w:p>
    <w:p>
      <w:pPr>
        <w:keepNext w:val="0"/>
        <w:spacing w:after="100" w:before="0"/>
        <w:ind w:left="504"/>
      </w:pPr>
      <w:r>
        <w:rPr>
          <w:rFonts w:ascii="Calibri" w:hAnsi="Calibri"/>
          <w:b w:val="0"/>
          <w:i/>
          <w:color w:val="565656"/>
          <w:sz w:val="18"/>
        </w:rPr>
        <w:t>Reciprocates before the harder questions, and the answer tells you what your development actually delivers.</w:t>
      </w:r>
    </w:p>
    <w:p>
      <w:pPr>
        <w:keepNext w:val="0"/>
        <w:spacing w:after="40" w:before="0"/>
        <w:ind w:left="216"/>
      </w:pPr>
      <w:r>
        <w:rPr>
          <w:rFonts w:ascii="Calibri" w:hAnsi="Calibri"/>
          <w:b w:val="0"/>
          <w:i w:val="0"/>
          <w:color w:val="1D1D1D"/>
          <w:sz w:val="20"/>
        </w:rPr>
        <w:t>•  Was there training or a tool you asked for and did not get?</w:t>
      </w:r>
    </w:p>
    <w:p>
      <w:pPr>
        <w:keepNext w:val="0"/>
        <w:spacing w:after="100" w:before="0"/>
        <w:ind w:left="504"/>
      </w:pPr>
      <w:r>
        <w:rPr>
          <w:rFonts w:ascii="Calibri" w:hAnsi="Calibri"/>
          <w:b w:val="0"/>
          <w:i/>
          <w:color w:val="565656"/>
          <w:sz w:val="18"/>
        </w:rPr>
        <w:t>Specific, checkable, and usually cheap to fix.</w:t>
      </w:r>
    </w:p>
    <w:p>
      <w:pPr>
        <w:pStyle w:val="Heading2"/>
        <w:keepNext/>
        <w:spacing w:after="80" w:before="160"/>
      </w:pPr>
      <w:r>
        <w:rPr>
          <w:rFonts w:ascii="Calibri" w:hAnsi="Calibri"/>
          <w:b/>
          <w:color w:val="1D1D1D"/>
          <w:sz w:val="22"/>
        </w:rPr>
        <w:t>Pay and benefits</w:t>
      </w:r>
    </w:p>
    <w:p>
      <w:pPr>
        <w:keepNext w:val="0"/>
        <w:spacing w:after="40" w:before="0"/>
        <w:ind w:left="216"/>
      </w:pPr>
      <w:r>
        <w:rPr>
          <w:rFonts w:ascii="Calibri" w:hAnsi="Calibri"/>
          <w:b w:val="0"/>
          <w:i w:val="0"/>
          <w:color w:val="1D1D1D"/>
          <w:sz w:val="20"/>
        </w:rPr>
        <w:t>•  Was pay a reason, a factor, or not really part of it?</w:t>
      </w:r>
    </w:p>
    <w:p>
      <w:pPr>
        <w:keepNext w:val="0"/>
        <w:spacing w:after="100" w:before="0"/>
        <w:ind w:left="504"/>
      </w:pPr>
      <w:r>
        <w:rPr>
          <w:rFonts w:ascii="Calibri" w:hAnsi="Calibri"/>
          <w:b w:val="0"/>
          <w:i/>
          <w:color w:val="565656"/>
          <w:sz w:val="18"/>
        </w:rPr>
        <w:t>Three options rather than yes or no. Pay is almost never the only reason and is almost always mentioned.</w:t>
      </w:r>
    </w:p>
    <w:p>
      <w:pPr>
        <w:keepNext w:val="0"/>
        <w:spacing w:after="40" w:before="0"/>
        <w:ind w:left="216"/>
      </w:pPr>
      <w:r>
        <w:rPr>
          <w:rFonts w:ascii="Calibri" w:hAnsi="Calibri"/>
          <w:b w:val="0"/>
          <w:i w:val="0"/>
          <w:color w:val="1D1D1D"/>
          <w:sz w:val="20"/>
        </w:rPr>
        <w:t>•  Did you understand how your pay was structured?</w:t>
      </w:r>
    </w:p>
    <w:p>
      <w:pPr>
        <w:keepNext w:val="0"/>
        <w:spacing w:after="100" w:before="0"/>
        <w:ind w:left="504"/>
      </w:pPr>
      <w:r>
        <w:rPr>
          <w:rFonts w:ascii="Calibri" w:hAnsi="Calibri"/>
          <w:b w:val="0"/>
          <w:i/>
          <w:color w:val="565656"/>
          <w:sz w:val="18"/>
        </w:rPr>
        <w:t>A surprising number do not, and the fix is a payslip change rather than a raise.</w:t>
      </w:r>
    </w:p>
    <w:p>
      <w:pPr>
        <w:keepNext w:val="0"/>
        <w:spacing w:after="40" w:before="0"/>
        <w:ind w:left="216"/>
      </w:pPr>
      <w:r>
        <w:rPr>
          <w:rFonts w:ascii="Calibri" w:hAnsi="Calibri"/>
          <w:b w:val="0"/>
          <w:i w:val="0"/>
          <w:color w:val="1D1D1D"/>
          <w:sz w:val="20"/>
        </w:rPr>
        <w:t>•  Were there benefits you did not know you had?</w:t>
      </w:r>
    </w:p>
    <w:p>
      <w:pPr>
        <w:keepNext w:val="0"/>
        <w:spacing w:after="100" w:before="0"/>
        <w:ind w:left="504"/>
      </w:pPr>
      <w:r>
        <w:rPr>
          <w:rFonts w:ascii="Calibri" w:hAnsi="Calibri"/>
          <w:b w:val="0"/>
          <w:i/>
          <w:color w:val="565656"/>
          <w:sz w:val="18"/>
        </w:rPr>
        <w:t>Cheapest retention finding available.</w:t>
      </w:r>
    </w:p>
    <w:p>
      <w:pPr>
        <w:keepNext w:val="0"/>
        <w:spacing w:after="40" w:before="0"/>
        <w:ind w:left="216"/>
      </w:pPr>
      <w:r>
        <w:rPr>
          <w:rFonts w:ascii="Calibri" w:hAnsi="Calibri"/>
          <w:b w:val="0"/>
          <w:i w:val="0"/>
          <w:color w:val="1D1D1D"/>
          <w:sz w:val="20"/>
        </w:rPr>
        <w:t>•  If you are comfortable saying, how does the new offer compare?</w:t>
      </w:r>
    </w:p>
    <w:p>
      <w:pPr>
        <w:keepNext w:val="0"/>
        <w:spacing w:after="100" w:before="0"/>
        <w:ind w:left="504"/>
      </w:pPr>
      <w:r>
        <w:rPr>
          <w:rFonts w:ascii="Calibri" w:hAnsi="Calibri"/>
          <w:b w:val="0"/>
          <w:i/>
          <w:color w:val="565656"/>
          <w:sz w:val="18"/>
        </w:rPr>
        <w:t>Optional by design. Never require it, and never make it a field they cannot skip.</w:t>
      </w:r>
    </w:p>
    <w:p>
      <w:pPr>
        <w:pStyle w:val="Heading2"/>
        <w:keepNext/>
        <w:spacing w:after="80" w:before="160"/>
      </w:pPr>
      <w:r>
        <w:rPr>
          <w:rFonts w:ascii="Calibri" w:hAnsi="Calibri"/>
          <w:b/>
          <w:color w:val="1D1D1D"/>
          <w:sz w:val="22"/>
        </w:rPr>
        <w:t>Culture and belonging</w:t>
      </w:r>
    </w:p>
    <w:p>
      <w:pPr>
        <w:keepNext w:val="0"/>
        <w:spacing w:after="40" w:before="0"/>
        <w:ind w:left="216"/>
      </w:pPr>
      <w:r>
        <w:rPr>
          <w:rFonts w:ascii="Calibri" w:hAnsi="Calibri"/>
          <w:b w:val="0"/>
          <w:i w:val="0"/>
          <w:color w:val="1D1D1D"/>
          <w:sz w:val="20"/>
        </w:rPr>
        <w:t>•  Did you feel you could say what you thought here?</w:t>
      </w:r>
    </w:p>
    <w:p>
      <w:pPr>
        <w:keepNext w:val="0"/>
        <w:spacing w:after="100" w:before="0"/>
        <w:ind w:left="504"/>
      </w:pPr>
      <w:r>
        <w:rPr>
          <w:rFonts w:ascii="Calibri" w:hAnsi="Calibri"/>
          <w:b w:val="0"/>
          <w:i/>
          <w:color w:val="565656"/>
          <w:sz w:val="18"/>
        </w:rPr>
        <w:t>The precursor to every disclosure question. A no here reframes every other answer on the form.</w:t>
      </w:r>
    </w:p>
    <w:p>
      <w:pPr>
        <w:keepNext w:val="0"/>
        <w:spacing w:after="40" w:before="0"/>
        <w:ind w:left="216"/>
      </w:pPr>
      <w:r>
        <w:rPr>
          <w:rFonts w:ascii="Calibri" w:hAnsi="Calibri"/>
          <w:b w:val="0"/>
          <w:i w:val="0"/>
          <w:color w:val="1D1D1D"/>
          <w:sz w:val="20"/>
        </w:rPr>
        <w:t>•  Was there anyone here you could go to with a problem?</w:t>
      </w:r>
    </w:p>
    <w:p>
      <w:pPr>
        <w:keepNext w:val="0"/>
        <w:spacing w:after="100" w:before="0"/>
        <w:ind w:left="504"/>
      </w:pPr>
      <w:r>
        <w:rPr>
          <w:rFonts w:ascii="Calibri" w:hAnsi="Calibri"/>
          <w:b w:val="0"/>
          <w:i/>
          <w:color w:val="565656"/>
          <w:sz w:val="18"/>
        </w:rPr>
        <w:t>Tests whether your escalation routes exist in practice.</w:t>
      </w:r>
    </w:p>
    <w:p>
      <w:pPr>
        <w:keepNext w:val="0"/>
        <w:spacing w:after="40" w:before="0"/>
        <w:ind w:left="216"/>
      </w:pPr>
      <w:r>
        <w:rPr>
          <w:rFonts w:ascii="Calibri" w:hAnsi="Calibri"/>
          <w:b w:val="0"/>
          <w:i w:val="0"/>
          <w:color w:val="1D1D1D"/>
          <w:sz w:val="20"/>
        </w:rPr>
        <w:t>•  Did anything happen here that you thought was not okay?</w:t>
      </w:r>
    </w:p>
    <w:p>
      <w:pPr>
        <w:keepNext w:val="0"/>
        <w:spacing w:after="100" w:before="0"/>
        <w:ind w:left="504"/>
      </w:pPr>
      <w:r>
        <w:rPr>
          <w:rFonts w:ascii="Calibri" w:hAnsi="Calibri"/>
          <w:b w:val="0"/>
          <w:i/>
          <w:color w:val="565656"/>
          <w:sz w:val="18"/>
        </w:rPr>
        <w:t>Deliberately broad and deliberately not about any protected category. If the answer engages section 4, stop and follow it.</w:t>
      </w:r>
    </w:p>
    <w:p>
      <w:pPr>
        <w:keepNext w:val="0"/>
        <w:spacing w:after="40" w:before="0"/>
        <w:ind w:left="216"/>
      </w:pPr>
      <w:r>
        <w:rPr>
          <w:rFonts w:ascii="Calibri" w:hAnsi="Calibri"/>
          <w:b w:val="0"/>
          <w:i w:val="0"/>
          <w:color w:val="1D1D1D"/>
          <w:sz w:val="20"/>
        </w:rPr>
        <w:t>•  Would you be comfortable if a friend took a job here?</w:t>
      </w:r>
    </w:p>
    <w:p>
      <w:pPr>
        <w:keepNext w:val="0"/>
        <w:spacing w:after="100" w:before="0"/>
        <w:ind w:left="504"/>
      </w:pPr>
      <w:r>
        <w:rPr>
          <w:rFonts w:ascii="Calibri" w:hAnsi="Calibri"/>
          <w:b w:val="0"/>
          <w:i/>
          <w:color w:val="565656"/>
          <w:sz w:val="18"/>
        </w:rPr>
        <w:t>More honest than a recommendation score, because it is about somebody they care about.</w:t>
      </w:r>
    </w:p>
    <w:p>
      <w:pPr>
        <w:pStyle w:val="Heading2"/>
        <w:keepNext/>
        <w:spacing w:after="80" w:before="160"/>
      </w:pPr>
      <w:r>
        <w:rPr>
          <w:rFonts w:ascii="Calibri" w:hAnsi="Calibri"/>
          <w:b/>
          <w:color w:val="1D1D1D"/>
          <w:sz w:val="22"/>
        </w:rPr>
        <w:t>Onboarding, process and tools</w:t>
      </w:r>
    </w:p>
    <w:p>
      <w:pPr>
        <w:keepNext w:val="0"/>
        <w:spacing w:after="40" w:before="0"/>
        <w:ind w:left="216"/>
      </w:pPr>
      <w:r>
        <w:rPr>
          <w:rFonts w:ascii="Calibri" w:hAnsi="Calibri"/>
          <w:b w:val="0"/>
          <w:i w:val="0"/>
          <w:color w:val="1D1D1D"/>
          <w:sz w:val="20"/>
        </w:rPr>
        <w:t>•  Think back to your first month. What would have helped?</w:t>
      </w:r>
    </w:p>
    <w:p>
      <w:pPr>
        <w:keepNext w:val="0"/>
        <w:spacing w:after="100" w:before="0"/>
        <w:ind w:left="504"/>
      </w:pPr>
      <w:r>
        <w:rPr>
          <w:rFonts w:ascii="Calibri" w:hAnsi="Calibri"/>
          <w:b w:val="0"/>
          <w:i/>
          <w:color w:val="565656"/>
          <w:sz w:val="18"/>
        </w:rPr>
        <w:t>Only worth asking of people under about two years. Beyond that the memory is reconstructed.</w:t>
      </w:r>
    </w:p>
    <w:p>
      <w:pPr>
        <w:keepNext w:val="0"/>
        <w:spacing w:after="40" w:before="0"/>
        <w:ind w:left="216"/>
      </w:pPr>
      <w:r>
        <w:rPr>
          <w:rFonts w:ascii="Calibri" w:hAnsi="Calibri"/>
          <w:b w:val="0"/>
          <w:i w:val="0"/>
          <w:color w:val="1D1D1D"/>
          <w:sz w:val="20"/>
        </w:rPr>
        <w:t>•  What slowed you down most often?</w:t>
      </w:r>
    </w:p>
    <w:p>
      <w:pPr>
        <w:keepNext w:val="0"/>
        <w:spacing w:after="100" w:before="0"/>
        <w:ind w:left="504"/>
      </w:pPr>
      <w:r>
        <w:rPr>
          <w:rFonts w:ascii="Calibri" w:hAnsi="Calibri"/>
          <w:b w:val="0"/>
          <w:i/>
          <w:color w:val="565656"/>
          <w:sz w:val="18"/>
        </w:rPr>
        <w:t>Produces process findings that are usually cheap and never raised otherwise.</w:t>
      </w:r>
    </w:p>
    <w:p>
      <w:pPr>
        <w:keepNext w:val="0"/>
        <w:spacing w:after="40" w:before="0"/>
        <w:ind w:left="216"/>
      </w:pPr>
      <w:r>
        <w:rPr>
          <w:rFonts w:ascii="Calibri" w:hAnsi="Calibri"/>
          <w:b w:val="0"/>
          <w:i w:val="0"/>
          <w:color w:val="1D1D1D"/>
          <w:sz w:val="20"/>
        </w:rPr>
        <w:t>•  What should the next person in this seat know on day one?</w:t>
      </w:r>
    </w:p>
    <w:p>
      <w:pPr>
        <w:keepNext w:val="0"/>
        <w:spacing w:after="100" w:before="0"/>
        <w:ind w:left="504"/>
      </w:pPr>
      <w:r>
        <w:rPr>
          <w:rFonts w:ascii="Calibri" w:hAnsi="Calibri"/>
          <w:b w:val="0"/>
          <w:i/>
          <w:color w:val="565656"/>
          <w:sz w:val="18"/>
        </w:rPr>
        <w:t>Doubles as a handover artefact. Often the most valuable single answer.</w:t>
      </w:r>
    </w:p>
    <w:p>
      <w:pPr>
        <w:pStyle w:val="Heading2"/>
        <w:keepNext/>
        <w:spacing w:after="80" w:before="160"/>
      </w:pPr>
      <w:r>
        <w:rPr>
          <w:rFonts w:ascii="Calibri" w:hAnsi="Calibri"/>
          <w:b/>
          <w:color w:val="1D1D1D"/>
          <w:sz w:val="22"/>
        </w:rPr>
        <w:t>The close</w:t>
      </w:r>
    </w:p>
    <w:p>
      <w:pPr>
        <w:keepNext w:val="0"/>
        <w:spacing w:after="40" w:before="0"/>
        <w:ind w:left="216"/>
      </w:pPr>
      <w:r>
        <w:rPr>
          <w:rFonts w:ascii="Calibri" w:hAnsi="Calibri"/>
          <w:b w:val="0"/>
          <w:i w:val="0"/>
          <w:color w:val="1D1D1D"/>
          <w:sz w:val="20"/>
        </w:rPr>
        <w:t>•  Would you consider coming back?</w:t>
      </w:r>
    </w:p>
    <w:p>
      <w:pPr>
        <w:keepNext w:val="0"/>
        <w:spacing w:after="100" w:before="0"/>
        <w:ind w:left="504"/>
      </w:pPr>
      <w:r>
        <w:rPr>
          <w:rFonts w:ascii="Calibri" w:hAnsi="Calibri"/>
          <w:b w:val="0"/>
          <w:i/>
          <w:color w:val="565656"/>
          <w:sz w:val="18"/>
        </w:rPr>
        <w:t>Boomerang hires are cheap. Record the answer and the conditions, and make sure the answer reaches whoever screens applications.</w:t>
      </w:r>
    </w:p>
    <w:p>
      <w:pPr>
        <w:keepNext w:val="0"/>
        <w:spacing w:after="40" w:before="0"/>
        <w:ind w:left="216"/>
      </w:pPr>
      <w:r>
        <w:rPr>
          <w:rFonts w:ascii="Calibri" w:hAnsi="Calibri"/>
          <w:b w:val="0"/>
          <w:i w:val="0"/>
          <w:color w:val="1D1D1D"/>
          <w:sz w:val="20"/>
        </w:rPr>
        <w:t>•  Is there anything I should have asked and did not?</w:t>
      </w:r>
    </w:p>
    <w:p>
      <w:pPr>
        <w:keepNext w:val="0"/>
        <w:spacing w:after="100" w:before="0"/>
        <w:ind w:left="504"/>
      </w:pPr>
      <w:r>
        <w:rPr>
          <w:rFonts w:ascii="Calibri" w:hAnsi="Calibri"/>
          <w:b w:val="0"/>
          <w:i/>
          <w:color w:val="565656"/>
          <w:sz w:val="18"/>
        </w:rPr>
        <w:t>Always ask it last. It catches what the form was not shaped to hold.</w:t>
      </w:r>
    </w:p>
    <w:p>
      <w:pPr>
        <w:keepNext w:val="0"/>
        <w:spacing w:after="40" w:before="0"/>
        <w:ind w:left="216"/>
      </w:pPr>
      <w:r>
        <w:rPr>
          <w:rFonts w:ascii="Calibri" w:hAnsi="Calibri"/>
          <w:b w:val="0"/>
          <w:i w:val="0"/>
          <w:color w:val="1D1D1D"/>
          <w:sz w:val="20"/>
        </w:rPr>
        <w:t>•  Is there anything you want recorded, and anything you want kept out of the written notes?</w:t>
      </w:r>
    </w:p>
    <w:p>
      <w:pPr>
        <w:keepNext w:val="0"/>
        <w:spacing w:after="100" w:before="0"/>
        <w:ind w:left="504"/>
      </w:pPr>
      <w:r>
        <w:rPr>
          <w:rFonts w:ascii="Calibri" w:hAnsi="Calibri"/>
          <w:b w:val="0"/>
          <w:i/>
          <w:color w:val="565656"/>
          <w:sz w:val="18"/>
        </w:rPr>
        <w:t>Ask it explicitly. It is the honest way to run section 6, and it tells you what you may and may not put in the tracker.</w:t>
      </w:r>
    </w:p>
    <w:p>
      <w:r>
        <w:br w:type="page"/>
      </w:r>
    </w:p>
    <w:p>
      <w:pPr>
        <w:pStyle w:val="Heading1"/>
        <w:keepNext/>
        <w:spacing w:after="200" w:before="80"/>
        <w:ind w:left="115"/>
        <w:shd w:val="clear" w:fill="008CDB"/>
      </w:pPr>
      <w:r>
        <w:rPr>
          <w:rFonts w:ascii="Calibri" w:hAnsi="Calibri"/>
          <w:b/>
          <w:color w:val="FFFFFF"/>
          <w:sz w:val="22"/>
        </w:rPr>
        <w:t>4.  Three things that leave the exit process</w:t>
      </w:r>
    </w:p>
    <w:p>
      <w:pPr>
        <w:keepNext w:val="0"/>
        <w:spacing w:after="160" w:before="0"/>
      </w:pPr>
      <w:r>
        <w:rPr>
          <w:rFonts w:ascii="Calibri" w:hAnsi="Calibri"/>
          <w:b w:val="0"/>
          <w:i w:val="0"/>
          <w:color w:val="565656"/>
          <w:sz w:val="20"/>
        </w:rPr>
        <w:t>Everything else on this form is feedback, and feedback goes in the tracker. These three do not. Each one has somewhere else to be, and a clock or a duty attached to it.</w:t>
      </w:r>
    </w:p>
    <w:p>
      <w:pPr>
        <w:pStyle w:val="Heading2"/>
        <w:keepNext/>
        <w:spacing w:after="80" w:before="160"/>
      </w:pPr>
      <w:r>
        <w:rPr>
          <w:rFonts w:ascii="Calibri" w:hAnsi="Calibri"/>
          <w:b/>
          <w:color w:val="1D1D1D"/>
          <w:sz w:val="22"/>
        </w:rPr>
        <w:t>A disclosure of sexual harassment</w:t>
      </w:r>
    </w:p>
    <w:p>
      <w:pPr>
        <w:keepNext w:val="0"/>
        <w:spacing w:after="60" w:before="0"/>
        <w:ind w:left="216"/>
      </w:pPr>
      <w:r>
        <w:rPr>
          <w:rFonts w:ascii="Calibri" w:hAnsi="Calibri"/>
          <w:b w:val="0"/>
          <w:i w:val="0"/>
          <w:color w:val="565656"/>
          <w:sz w:val="20"/>
        </w:rPr>
        <w:t>This stops being feedback the moment it is said. Do not write it into the exit form, do not put it in the tracker, and do not tell the manager. Tell her, in the room, three things: WHICH COMMITTEE IS HERS and how to reach it; that a complaint is made in writing and that if she cannot put it in writing a member of the Committee must help her do so; and that the time limit runs from the incident, not from today. Then record only that a disclosure was made and routed, and where. Which committee is hers is not always the Internal Committee. WHERE THE ESTABLISHMENT HAS FEWER THAN TEN WORKERS there is no Internal Committee to send her to, and WHERE THE COMPLAINT IS AGAINST THE EMPLOYER HIMSELF the Internal Committee is the wrong forum however many workers there are. Both go to the LOCAL COMMITTEE, which the District Officer constitutes. Find out which one is yours before the interview, not during it. AND IF THE THREE MONTHS HAVE RUN OUT, THAT IS THE COMMITTEE'S WINDOW, NOT THE ONLY ONE. Section 19(g) makes the employer assist her to file a complaint under the general criminal law if she chooses to, and s.19(h) makes the employer cause action to be initiated. Neither of those runs on the section 9(1) clock. Do not let her leave believing a closed window is the end of it.</w:t>
      </w:r>
    </w:p>
    <w:p>
      <w:pPr>
        <w:keepNext w:val="0"/>
        <w:spacing w:after="160" w:before="0"/>
        <w:ind w:left="216"/>
      </w:pPr>
      <w:r>
        <w:rPr>
          <w:rFonts w:ascii="Calibri" w:hAnsi="Calibri"/>
          <w:b w:val="0"/>
          <w:i/>
          <w:color w:val="0069A4"/>
          <w:sz w:val="17"/>
        </w:rPr>
        <w:t>Rests on  POSH Act 2013, s.9(1) and its two provisos, s.16 on confidentiality, and s.19(i), which makes sexual harassment misconduct under the service rules rather than a line in an attrition report. s.6(1) gives the Local Committee complaints from establishments with fewer than ten workers, and complaints against the employer himself</w:t>
      </w:r>
    </w:p>
    <w:p>
      <w:pPr>
        <w:pStyle w:val="Heading2"/>
        <w:keepNext/>
        <w:spacing w:after="80" w:before="160"/>
      </w:pPr>
      <w:r>
        <w:rPr>
          <w:rFonts w:ascii="Calibri" w:hAnsi="Calibri"/>
          <w:b/>
          <w:color w:val="1D1D1D"/>
          <w:sz w:val="22"/>
        </w:rPr>
        <w:t>A claim that money is owed</w:t>
      </w:r>
    </w:p>
    <w:p>
      <w:pPr>
        <w:keepNext w:val="0"/>
        <w:spacing w:after="60" w:before="0"/>
        <w:ind w:left="216"/>
      </w:pPr>
      <w:r>
        <w:rPr>
          <w:rFonts w:ascii="Calibri" w:hAnsi="Calibri"/>
          <w:b w:val="0"/>
          <w:i w:val="0"/>
          <w:color w:val="565656"/>
          <w:sz w:val="20"/>
        </w:rPr>
        <w:t>Unpaid wages, overtime, leave encashment or a deduction they dispute. This is not an exit interview finding, it is a payment with a deadline that is already running. Route it to whoever runs the settlement the same day and record the date you did.</w:t>
      </w:r>
    </w:p>
    <w:p>
      <w:pPr>
        <w:keepNext w:val="0"/>
        <w:spacing w:after="160" w:before="0"/>
        <w:ind w:left="216"/>
      </w:pPr>
      <w:r>
        <w:rPr>
          <w:rFonts w:ascii="Calibri" w:hAnsi="Calibri"/>
          <w:b w:val="0"/>
          <w:i/>
          <w:color w:val="0069A4"/>
          <w:sz w:val="17"/>
        </w:rPr>
        <w:t>Rests on  Code on Wages, 2019, s.17(2): wages payable within two working days of resignation, removal, dismissal or retrenchment. Subject to s.17(3), under which the appropriate Government may set another time limit, and to s.17(4), which preserves any time limit fixed by another law, so check your State shops and establishments Act before you rely on two</w:t>
      </w:r>
    </w:p>
    <w:p>
      <w:pPr>
        <w:pStyle w:val="Heading2"/>
        <w:keepNext/>
        <w:spacing w:after="80" w:before="160"/>
      </w:pPr>
      <w:r>
        <w:rPr>
          <w:rFonts w:ascii="Calibri" w:hAnsi="Calibri"/>
          <w:b/>
          <w:color w:val="1D1D1D"/>
          <w:sz w:val="22"/>
        </w:rPr>
        <w:t>Anything touching confidentiality, data or a customer</w:t>
      </w:r>
    </w:p>
    <w:p>
      <w:pPr>
        <w:keepNext w:val="0"/>
        <w:spacing w:after="60" w:before="0"/>
        <w:ind w:left="216"/>
      </w:pPr>
      <w:r>
        <w:rPr>
          <w:rFonts w:ascii="Calibri" w:hAnsi="Calibri"/>
          <w:b w:val="0"/>
          <w:i w:val="0"/>
          <w:color w:val="565656"/>
          <w:sz w:val="20"/>
        </w:rPr>
        <w:t>A departing employee telling you they still have access, still have files, or were asked to do something with customer data is telling you about a live exposure, not about their experience. Route it to whoever owns access and to whoever owns data protection, and close the access before the interview notes are typed up.</w:t>
      </w:r>
    </w:p>
    <w:p>
      <w:pPr>
        <w:keepNext w:val="0"/>
        <w:spacing w:after="160" w:before="0"/>
        <w:ind w:left="216"/>
      </w:pPr>
      <w:r>
        <w:rPr>
          <w:rFonts w:ascii="Calibri" w:hAnsi="Calibri"/>
          <w:b w:val="0"/>
          <w:i/>
          <w:color w:val="0069A4"/>
          <w:sz w:val="17"/>
        </w:rPr>
        <w:t>Rests on  Practical, not statutory. Where the record is digital, the data-protection duties sit with the employer as a Data Fiduciary under the Digital Personal Data Protection Act, 2023, whatever the departing employee did. s.3(a) reaches personal data collected in digital form, or collected on paper AND DIGITISED AFTERWARDS, so a form that is filled on paper and stays on paper is outside the Act. Most exit records are typed up, which is the moment it starts to apply</w:t>
      </w:r>
    </w:p>
    <w:p>
      <w:pPr>
        <w:keepNext/>
        <w:spacing w:after="80" w:before="80"/>
      </w:pPr>
      <w:r>
        <w:rPr>
          <w:rFonts w:ascii="Calibri" w:hAnsi="Calibri"/>
          <w:b/>
          <w:i w:val="0"/>
          <w:color w:val="1D1D1D"/>
          <w:sz w:val="22"/>
        </w:rPr>
        <w:t>The one to be ready for</w:t>
      </w:r>
    </w:p>
    <w:p>
      <w:pPr>
        <w:keepNext w:val="0"/>
        <w:spacing w:after="80" w:before="0"/>
        <w:ind w:left="216"/>
      </w:pPr>
      <w:r>
        <w:rPr>
          <w:rFonts w:ascii="Calibri" w:hAnsi="Calibri"/>
          <w:b w:val="0"/>
          <w:i w:val="0"/>
          <w:color w:val="565656"/>
          <w:sz w:val="19"/>
        </w:rPr>
        <w:t>Read section 9(1) of the POSH Act once, before your first interview. A complaint is made IN WRITING to the Internal Committee, or to the LOCAL COMMITTEE where the establishment has fewer than ten workers or the complaint is against the employer himself, within three months of the incident, or of the last of a series. The Committee may extend that by not more than three further months, for reasons it records in writing, if it is satisfied that the circumstances prevented her from complaining in time. And where the complaint cannot be made in writing, a member of the Committee must render all reasonable assistance to her to put it in writing.</w:t>
      </w:r>
    </w:p>
    <w:p>
      <w:pPr>
        <w:keepNext w:val="0"/>
        <w:spacing w:after="160" w:before="0"/>
        <w:ind w:left="216"/>
      </w:pPr>
      <w:r>
        <w:rPr>
          <w:rFonts w:ascii="Calibri" w:hAnsi="Calibri"/>
          <w:b w:val="0"/>
          <w:i w:val="0"/>
          <w:color w:val="565656"/>
          <w:sz w:val="19"/>
        </w:rPr>
        <w:t>Three consequences follow for this form. THE CLOCK RUNS FROM THE INCIDENT, NOT FROM THE DAY SHE TELLS YOU, so a disclosure at exit may be near the end of the window or past it, and she needs to know that in the room rather than in a letter a fortnight later. A DISCLOSURE IS NOT A COMPLAINT: it becomes one when it reaches the Committee in writing, which is why the route matters more than the record. And section 16 keeps the contents and the identities out of publication, which is why Part D records that a disclosure was routed and nothing about what it was.</w:t>
      </w:r>
    </w:p>
    <w:p>
      <w:pPr>
        <w:pStyle w:val="Heading1"/>
        <w:keepNext/>
        <w:spacing w:after="200" w:before="80"/>
        <w:ind w:left="115"/>
        <w:shd w:val="clear" w:fill="35A4E2"/>
      </w:pPr>
      <w:r>
        <w:rPr>
          <w:rFonts w:ascii="Calibri" w:hAnsi="Calibri"/>
          <w:b/>
          <w:color w:val="FFFFFF"/>
          <w:sz w:val="22"/>
        </w:rPr>
        <w:t>5.  The clocks this sits inside</w:t>
      </w:r>
    </w:p>
    <w:p>
      <w:pPr>
        <w:keepNext w:val="0"/>
        <w:spacing w:after="120" w:before="0"/>
      </w:pPr>
      <w:r>
        <w:rPr>
          <w:rFonts w:ascii="Calibri" w:hAnsi="Calibri"/>
          <w:b w:val="0"/>
          <w:i w:val="0"/>
          <w:color w:val="565656"/>
          <w:sz w:val="20"/>
        </w:rPr>
        <w:t>None of these run from the exit interview. They run from the separation, and they are usually already running by the time you sit down.</w:t>
      </w:r>
    </w:p>
    <w:tbl>
      <w:tblPr>
        <w:tblStyle w:val="TableGrid"/>
        <w:tblW w:type="auto" w:w="0"/>
        <w:tblLook w:firstColumn="1" w:firstRow="1" w:lastColumn="0" w:lastRow="0" w:noHBand="0" w:noVBand="1" w:val="04A0"/>
      </w:tblPr>
      <w:tblGrid>
        <w:gridCol w:w="2412"/>
        <w:gridCol w:w="2412"/>
        <w:gridCol w:w="2412"/>
        <w:gridCol w:w="2412"/>
      </w:tblGrid>
      <w:tr>
        <w:tc>
          <w:tcPr>
            <w:tcW w:type="dxa" w:w="1872"/>
            <w:shd w:val="clear" w:fill="008CDB"/>
          </w:tcPr>
          <w:p>
            <w:pPr>
              <w:spacing w:after="40" w:before="40"/>
            </w:pPr>
            <w:r/>
            <w:r>
              <w:rPr>
                <w:rFonts w:ascii="Calibri" w:hAnsi="Calibri"/>
                <w:b/>
                <w:color w:val="FFFFFF"/>
                <w:sz w:val="18"/>
              </w:rPr>
              <w:t>What</w:t>
            </w:r>
          </w:p>
        </w:tc>
        <w:tc>
          <w:tcPr>
            <w:tcW w:type="dxa" w:w="1584"/>
            <w:shd w:val="clear" w:fill="008CDB"/>
          </w:tcPr>
          <w:p>
            <w:pPr>
              <w:spacing w:after="40" w:before="40"/>
            </w:pPr>
            <w:r/>
            <w:r>
              <w:rPr>
                <w:rFonts w:ascii="Calibri" w:hAnsi="Calibri"/>
                <w:b/>
                <w:color w:val="FFFFFF"/>
                <w:sz w:val="18"/>
              </w:rPr>
              <w:t>By when</w:t>
            </w:r>
          </w:p>
        </w:tc>
        <w:tc>
          <w:tcPr>
            <w:tcW w:type="dxa" w:w="3744"/>
            <w:shd w:val="clear" w:fill="008CDB"/>
          </w:tcPr>
          <w:p>
            <w:pPr>
              <w:spacing w:after="40" w:before="40"/>
            </w:pPr>
            <w:r/>
            <w:r>
              <w:rPr>
                <w:rFonts w:ascii="Calibri" w:hAnsi="Calibri"/>
                <w:b/>
                <w:color w:val="FFFFFF"/>
                <w:sz w:val="18"/>
              </w:rPr>
              <w:t>From what, and the limit on it</w:t>
            </w:r>
          </w:p>
        </w:tc>
        <w:tc>
          <w:tcPr>
            <w:tcW w:type="dxa" w:w="2592"/>
            <w:shd w:val="clear" w:fill="008CDB"/>
          </w:tcPr>
          <w:p>
            <w:pPr>
              <w:spacing w:after="40" w:before="40"/>
            </w:pPr>
            <w:r/>
            <w:r>
              <w:rPr>
                <w:rFonts w:ascii="Calibri" w:hAnsi="Calibri"/>
                <w:b/>
                <w:color w:val="FFFFFF"/>
                <w:sz w:val="18"/>
              </w:rPr>
              <w:t>Rests on</w:t>
            </w:r>
          </w:p>
        </w:tc>
      </w:tr>
      <w:tr>
        <w:tc>
          <w:tcPr>
            <w:tcW w:type="dxa" w:w="1872"/>
          </w:tcPr>
          <w:p>
            <w:pPr>
              <w:spacing w:after="40" w:before="40"/>
            </w:pPr>
            <w:r/>
            <w:r>
              <w:rPr>
                <w:rFonts w:ascii="Calibri" w:hAnsi="Calibri"/>
                <w:color w:val="565656"/>
                <w:sz w:val="18"/>
              </w:rPr>
              <w:t>Wages and the settlement</w:t>
            </w:r>
          </w:p>
        </w:tc>
        <w:tc>
          <w:tcPr>
            <w:tcW w:type="dxa" w:w="1584"/>
          </w:tcPr>
          <w:p>
            <w:pPr>
              <w:spacing w:after="40" w:before="40"/>
            </w:pPr>
            <w:r/>
            <w:r>
              <w:rPr>
                <w:rFonts w:ascii="Calibri" w:hAnsi="Calibri"/>
                <w:color w:val="565656"/>
                <w:sz w:val="18"/>
              </w:rPr>
              <w:t>Two working days</w:t>
            </w:r>
          </w:p>
        </w:tc>
        <w:tc>
          <w:tcPr>
            <w:tcW w:type="dxa" w:w="3744"/>
          </w:tcPr>
          <w:p>
            <w:pPr>
              <w:spacing w:after="40" w:before="40"/>
            </w:pPr>
            <w:r/>
            <w:r>
              <w:rPr>
                <w:rFonts w:ascii="Calibri" w:hAnsi="Calibri"/>
                <w:color w:val="565656"/>
                <w:sz w:val="18"/>
              </w:rPr>
              <w:t>From resignation, removal, dismissal, retrenchment, or unemployment due to closure. Not from the exit interview and not from the last working day if that is later.</w:t>
            </w:r>
          </w:p>
        </w:tc>
        <w:tc>
          <w:tcPr>
            <w:tcW w:type="dxa" w:w="2592"/>
          </w:tcPr>
          <w:p>
            <w:pPr>
              <w:spacing w:after="40" w:before="40"/>
            </w:pPr>
            <w:r/>
            <w:r>
              <w:rPr>
                <w:rFonts w:ascii="Calibri" w:hAnsi="Calibri"/>
                <w:color w:val="565656"/>
                <w:sz w:val="18"/>
              </w:rPr>
              <w:t>Code on Wages, 2019, s.17(2). Subject to s.17(3), under which the appropriate Government may set another limit</w:t>
            </w:r>
          </w:p>
        </w:tc>
      </w:tr>
      <w:tr>
        <w:tc>
          <w:tcPr>
            <w:tcW w:type="dxa" w:w="1872"/>
          </w:tcPr>
          <w:p>
            <w:pPr>
              <w:spacing w:after="40" w:before="40"/>
            </w:pPr>
            <w:r/>
            <w:r>
              <w:rPr>
                <w:rFonts w:ascii="Calibri" w:hAnsi="Calibri"/>
                <w:color w:val="565656"/>
                <w:sz w:val="18"/>
              </w:rPr>
              <w:t>Service certificate</w:t>
            </w:r>
          </w:p>
        </w:tc>
        <w:tc>
          <w:tcPr>
            <w:tcW w:type="dxa" w:w="1584"/>
          </w:tcPr>
          <w:p>
            <w:pPr>
              <w:spacing w:after="40" w:before="40"/>
            </w:pPr>
            <w:r/>
            <w:r>
              <w:rPr>
                <w:rFonts w:ascii="Calibri" w:hAnsi="Calibri"/>
                <w:color w:val="565656"/>
                <w:sz w:val="18"/>
              </w:rPr>
              <w:t>Ten days</w:t>
            </w:r>
          </w:p>
        </w:tc>
        <w:tc>
          <w:tcPr>
            <w:tcW w:type="dxa" w:w="3744"/>
          </w:tcPr>
          <w:p>
            <w:pPr>
              <w:spacing w:after="40" w:before="40"/>
            </w:pPr>
            <w:r/>
            <w:r>
              <w:rPr>
                <w:rFonts w:ascii="Calibri" w:hAnsi="Calibri"/>
                <w:color w:val="565656"/>
                <w:sz w:val="18"/>
              </w:rPr>
              <w:t>ONLY WHERE THE MODEL STANDING ORDERS APPLY, which under Chapter IV of the Industrial Relations Code means an industrial establishment with 300 OR MORE WORKERS. Below that threshold there is no ten-day rule and you are working to your own policy or your state's shops and establishments Act.</w:t>
            </w:r>
          </w:p>
        </w:tc>
        <w:tc>
          <w:tcPr>
            <w:tcW w:type="dxa" w:w="2592"/>
          </w:tcPr>
          <w:p>
            <w:pPr>
              <w:spacing w:after="40" w:before="40"/>
            </w:pPr>
            <w:r/>
            <w:r>
              <w:rPr>
                <w:rFonts w:ascii="Calibri" w:hAnsi="Calibri"/>
                <w:color w:val="565656"/>
                <w:sz w:val="18"/>
              </w:rPr>
              <w:t>Model Standing Orders, 2026, with s.28(1) and s.29(2) of the Industrial Relations Code, 2020 for the threshold</w:t>
            </w:r>
          </w:p>
        </w:tc>
      </w:tr>
      <w:tr>
        <w:tc>
          <w:tcPr>
            <w:tcW w:type="dxa" w:w="1872"/>
          </w:tcPr>
          <w:p>
            <w:pPr>
              <w:spacing w:after="40" w:before="40"/>
            </w:pPr>
            <w:r/>
            <w:r>
              <w:rPr>
                <w:rFonts w:ascii="Calibri" w:hAnsi="Calibri"/>
                <w:color w:val="565656"/>
                <w:sz w:val="18"/>
              </w:rPr>
              <w:t>Leave encashment</w:t>
            </w:r>
          </w:p>
        </w:tc>
        <w:tc>
          <w:tcPr>
            <w:tcW w:type="dxa" w:w="1584"/>
          </w:tcPr>
          <w:p>
            <w:pPr>
              <w:spacing w:after="40" w:before="40"/>
            </w:pPr>
            <w:r/>
            <w:r>
              <w:rPr>
                <w:rFonts w:ascii="Calibri" w:hAnsi="Calibri"/>
                <w:color w:val="565656"/>
                <w:sz w:val="18"/>
              </w:rPr>
              <w:t>Two working days</w:t>
            </w:r>
          </w:p>
        </w:tc>
        <w:tc>
          <w:tcPr>
            <w:tcW w:type="dxa" w:w="3744"/>
          </w:tcPr>
          <w:p>
            <w:pPr>
              <w:spacing w:after="40" w:before="40"/>
            </w:pPr>
            <w:r/>
            <w:r>
              <w:rPr>
                <w:rFonts w:ascii="Calibri" w:hAnsi="Calibri"/>
                <w:color w:val="565656"/>
                <w:sz w:val="18"/>
              </w:rPr>
              <w:t>A SEPARATE DEADLINE FROM THE WAGES ONE, in a different Code, which happens to fall on the same day for a resignation. On exit the worker is entitled to wages for accrued leave even if they have not worked the qualifying days in the year. Where the worker is superannuated or dies in service it is TWO MONTHS instead, and on death it is owed to the heir or nominee rather than to the employee.</w:t>
            </w:r>
          </w:p>
        </w:tc>
        <w:tc>
          <w:tcPr>
            <w:tcW w:type="dxa" w:w="2592"/>
          </w:tcPr>
          <w:p>
            <w:pPr>
              <w:spacing w:after="40" w:before="40"/>
            </w:pPr>
            <w:r/>
            <w:r>
              <w:rPr>
                <w:rFonts w:ascii="Calibri" w:hAnsi="Calibri"/>
                <w:color w:val="565656"/>
                <w:sz w:val="18"/>
              </w:rPr>
              <w:t>Occupational Safety, Health and Working Conditions Code, 2020, s.32(1)(vi), with the payment deadlines in s.32(1)(vi)(a) and (b)</w:t>
            </w:r>
          </w:p>
        </w:tc>
      </w:tr>
      <w:tr>
        <w:tc>
          <w:tcPr>
            <w:tcW w:type="dxa" w:w="1872"/>
          </w:tcPr>
          <w:p>
            <w:pPr>
              <w:spacing w:after="40" w:before="40"/>
            </w:pPr>
            <w:r/>
            <w:r>
              <w:rPr>
                <w:rFonts w:ascii="Calibri" w:hAnsi="Calibri"/>
                <w:color w:val="565656"/>
                <w:sz w:val="18"/>
              </w:rPr>
              <w:t>Gratuity</w:t>
            </w:r>
          </w:p>
        </w:tc>
        <w:tc>
          <w:tcPr>
            <w:tcW w:type="dxa" w:w="1584"/>
          </w:tcPr>
          <w:p>
            <w:pPr>
              <w:spacing w:after="40" w:before="40"/>
            </w:pPr>
            <w:r/>
            <w:r>
              <w:rPr>
                <w:rFonts w:ascii="Calibri" w:hAnsi="Calibri"/>
                <w:color w:val="565656"/>
                <w:sz w:val="18"/>
              </w:rPr>
              <w:t>Thirty days</w:t>
            </w:r>
          </w:p>
        </w:tc>
        <w:tc>
          <w:tcPr>
            <w:tcW w:type="dxa" w:w="3744"/>
          </w:tcPr>
          <w:p>
            <w:pPr>
              <w:spacing w:after="40" w:before="40"/>
            </w:pPr>
            <w:r/>
            <w:r>
              <w:rPr>
                <w:rFonts w:ascii="Calibri" w:hAnsi="Calibri"/>
                <w:color w:val="565656"/>
                <w:sz w:val="18"/>
              </w:rPr>
              <w:t>WHERE THERE ARE FIVE YEARS OF CONTINUOUS SERVICE, and resignation counts, so this is the ordinary exit interview case. The five years is not required where employment ends by death, disablement or the expiry of a fixed term. Two things employers get wrong: the duty to determine the amount and give written notice arises WHETHER OR NOT THE EMPLOYEE APPLIES for it, so waiting for a form is not compliance; and interest runs from the due date if it is paid late.</w:t>
            </w:r>
          </w:p>
        </w:tc>
        <w:tc>
          <w:tcPr>
            <w:tcW w:type="dxa" w:w="2592"/>
          </w:tcPr>
          <w:p>
            <w:pPr>
              <w:spacing w:after="40" w:before="40"/>
            </w:pPr>
            <w:r/>
            <w:r>
              <w:rPr>
                <w:rFonts w:ascii="Calibri" w:hAnsi="Calibri"/>
                <w:color w:val="565656"/>
                <w:sz w:val="18"/>
              </w:rPr>
              <w:t>Code on Social Security, 2020, s.53(1) for the entitlement, s.56(2) for the duty without an application, s.56(3) for the thirty days and s.56(4) for the interest</w:t>
            </w:r>
          </w:p>
        </w:tc>
      </w:tr>
      <w:tr>
        <w:tc>
          <w:tcPr>
            <w:tcW w:type="dxa" w:w="1872"/>
          </w:tcPr>
          <w:p>
            <w:pPr>
              <w:spacing w:after="40" w:before="40"/>
            </w:pPr>
            <w:r/>
            <w:r>
              <w:rPr>
                <w:rFonts w:ascii="Calibri" w:hAnsi="Calibri"/>
                <w:color w:val="565656"/>
                <w:sz w:val="18"/>
              </w:rPr>
              <w:t>The exit interview itself</w:t>
            </w:r>
          </w:p>
        </w:tc>
        <w:tc>
          <w:tcPr>
            <w:tcW w:type="dxa" w:w="1584"/>
          </w:tcPr>
          <w:p>
            <w:pPr>
              <w:spacing w:after="40" w:before="40"/>
            </w:pPr>
            <w:r/>
            <w:r>
              <w:rPr>
                <w:rFonts w:ascii="Calibri" w:hAnsi="Calibri"/>
                <w:color w:val="565656"/>
                <w:sz w:val="18"/>
              </w:rPr>
              <w:t>No deadline, because no duty</w:t>
            </w:r>
          </w:p>
        </w:tc>
        <w:tc>
          <w:tcPr>
            <w:tcW w:type="dxa" w:w="3744"/>
          </w:tcPr>
          <w:p>
            <w:pPr>
              <w:spacing w:after="40" w:before="40"/>
            </w:pPr>
            <w:r/>
            <w:r>
              <w:rPr>
                <w:rFonts w:ascii="Calibri" w:hAnsi="Calibri"/>
                <w:color w:val="565656"/>
                <w:sz w:val="18"/>
              </w:rPr>
              <w:t>No Indian statute requires an exit interview. It is worth running, and nothing about running one discharges any of the duties above.</w:t>
            </w:r>
          </w:p>
        </w:tc>
        <w:tc>
          <w:tcPr>
            <w:tcW w:type="dxa" w:w="2592"/>
          </w:tcPr>
          <w:p>
            <w:pPr>
              <w:spacing w:after="40" w:before="40"/>
            </w:pPr>
            <w:r/>
            <w:r>
              <w:rPr>
                <w:rFonts w:ascii="Calibri" w:hAnsi="Calibri"/>
                <w:color w:val="565656"/>
                <w:sz w:val="18"/>
              </w:rPr>
              <w:t>Stated so that nobody reads the rest of this file as a compliance obligation</w:t>
            </w:r>
          </w:p>
        </w:tc>
      </w:tr>
    </w:tbl>
    <w:p>
      <w:pPr>
        <w:spacing w:after="80"/>
      </w:pPr>
    </w:p>
    <w:p>
      <w:pPr>
        <w:pStyle w:val="Heading1"/>
        <w:keepNext/>
        <w:spacing w:after="200" w:before="80"/>
        <w:ind w:left="115"/>
        <w:shd w:val="clear" w:fill="35A4E2"/>
      </w:pPr>
      <w:r>
        <w:rPr>
          <w:rFonts w:ascii="Calibri" w:hAnsi="Calibri"/>
          <w:b/>
          <w:color w:val="FFFFFF"/>
          <w:sz w:val="22"/>
        </w:rPr>
        <w:t>6.  What you write down</w:t>
      </w:r>
    </w:p>
    <w:p>
      <w:pPr>
        <w:spacing w:after="60"/>
      </w:pPr>
      <w:r>
        <w:rPr>
          <w:rFonts w:ascii="Calibri" w:hAnsi="Calibri"/>
          <w:b/>
          <w:color w:val="0069A4"/>
          <w:sz w:val="19"/>
        </w:rPr>
        <w:t xml:space="preserve">The exit form  </w:t>
      </w:r>
      <w:r>
        <w:rPr>
          <w:rFonts w:ascii="Calibri" w:hAnsi="Calibri"/>
          <w:color w:val="565656"/>
          <w:sz w:val="19"/>
        </w:rPr>
        <w:t>The facts in Part A, the answers in Part B and C, and the routing decisions in Part D. Nothing from section 4 beyond the fact that it was routed.</w:t>
      </w:r>
    </w:p>
    <w:p>
      <w:pPr>
        <w:spacing w:after="60"/>
      </w:pPr>
      <w:r>
        <w:rPr>
          <w:rFonts w:ascii="Calibri" w:hAnsi="Calibri"/>
          <w:b/>
          <w:color w:val="0069A4"/>
          <w:sz w:val="19"/>
        </w:rPr>
        <w:t xml:space="preserve">The tracker  </w:t>
      </w:r>
      <w:r>
        <w:rPr>
          <w:rFonts w:ascii="Calibri" w:hAnsi="Calibri"/>
          <w:color w:val="565656"/>
          <w:sz w:val="19"/>
        </w:rPr>
        <w:t>Structured fields only: reason category, tenure band, manager, would-return. Free text in a shared tracker is how a sentence about a person travels somewhere nobody intended. The two lists that make it worth keeping are below: use them as they are rather than inventing your own, because the whole value of the record is that this quarter can be compared with the last one.</w:t>
      </w:r>
    </w:p>
    <w:p>
      <w:pPr>
        <w:spacing w:after="60"/>
      </w:pPr>
      <w:r>
        <w:rPr>
          <w:rFonts w:ascii="Calibri" w:hAnsi="Calibri"/>
          <w:b/>
          <w:color w:val="0069A4"/>
          <w:sz w:val="19"/>
        </w:rPr>
        <w:t xml:space="preserve">What the manager hears  </w:t>
      </w:r>
      <w:r>
        <w:rPr>
          <w:rFonts w:ascii="Calibri" w:hAnsi="Calibri"/>
          <w:color w:val="565656"/>
          <w:sz w:val="19"/>
        </w:rPr>
        <w:t>Themes, and anything about them that they can act on, given in a way that does not identify who said it where only one person could have. In a team of three, 'somebody said' identifies them.</w:t>
      </w:r>
    </w:p>
    <w:p>
      <w:pPr>
        <w:spacing w:after="60"/>
      </w:pPr>
      <w:r>
        <w:rPr>
          <w:rFonts w:ascii="Calibri" w:hAnsi="Calibri"/>
          <w:b/>
          <w:color w:val="0069A4"/>
          <w:sz w:val="19"/>
        </w:rPr>
        <w:t xml:space="preserve">What a named person is owed  </w:t>
      </w:r>
      <w:r>
        <w:rPr>
          <w:rFonts w:ascii="Calibri" w:hAnsi="Calibri"/>
          <w:color w:val="565656"/>
          <w:sz w:val="19"/>
        </w:rPr>
        <w:t>A leaver's opinion about their manager is personal data about the manager, who is not in the room and did not choose to be described. Hold it accordingly, keep it to the people who need it, and do not keep it after it stops being useful.</w:t>
      </w:r>
    </w:p>
    <w:p>
      <w:pPr>
        <w:spacing w:after="60"/>
      </w:pPr>
      <w:r>
        <w:rPr>
          <w:rFonts w:ascii="Calibri" w:hAnsi="Calibri"/>
          <w:b/>
          <w:color w:val="0069A4"/>
          <w:sz w:val="19"/>
        </w:rPr>
        <w:t xml:space="preserve">How long you keep it  </w:t>
      </w:r>
      <w:r>
        <w:rPr>
          <w:rFonts w:ascii="Calibri" w:hAnsi="Calibri"/>
          <w:color w:val="565656"/>
          <w:sz w:val="19"/>
        </w:rPr>
        <w:t>Long enough to see a pattern, which is usually two to three years, and no longer. Set the date at [RETENTION DATE] on the form rather than deciding later, because later never comes.</w:t>
      </w:r>
    </w:p>
    <w:p>
      <w:pPr>
        <w:keepNext w:val="0"/>
        <w:spacing w:after="80" w:before="0"/>
      </w:pPr>
      <w:r>
        <w:rPr>
          <w:rFonts w:ascii="Calibri" w:hAnsi="Calibri"/>
          <w:b w:val="0"/>
          <w:i w:val="0"/>
          <w:color w:val="1D1D1D"/>
          <w:sz w:val="21"/>
        </w:rPr>
      </w:r>
    </w:p>
    <w:p>
      <w:pPr>
        <w:keepNext/>
        <w:spacing w:after="60" w:before="0"/>
      </w:pPr>
      <w:r>
        <w:rPr>
          <w:rFonts w:ascii="Calibri" w:hAnsi="Calibri"/>
          <w:b/>
          <w:i w:val="0"/>
          <w:color w:val="1D1D1D"/>
          <w:sz w:val="20"/>
        </w:rPr>
        <w:t>Primary reason: pick ONE</w:t>
      </w:r>
    </w:p>
    <w:p>
      <w:pPr>
        <w:keepNext w:val="0"/>
        <w:spacing w:after="120" w:before="0"/>
      </w:pPr>
      <w:r>
        <w:rPr>
          <w:rFonts w:ascii="Calibri" w:hAnsi="Calibri"/>
          <w:b w:val="0"/>
          <w:i w:val="0"/>
          <w:color w:val="1D1D1D"/>
          <w:sz w:val="19"/>
        </w:rPr>
        <w:t>1. Pay and benefits   2. Manager or leadership   3. Career growth or progression   4. Role not as expected   5. Workload or hours   6. Culture or values   7. Relocation or personal   8. Better offer elsewhere   9. Retirement or end of term   10. Other</w:t>
      </w:r>
    </w:p>
    <w:p>
      <w:pPr>
        <w:keepNext/>
        <w:spacing w:after="60" w:before="0"/>
      </w:pPr>
      <w:r>
        <w:rPr>
          <w:rFonts w:ascii="Calibri" w:hAnsi="Calibri"/>
          <w:b/>
          <w:i w:val="0"/>
          <w:color w:val="1D1D1D"/>
          <w:sz w:val="20"/>
        </w:rPr>
        <w:t>Tenure band</w:t>
      </w:r>
    </w:p>
    <w:p>
      <w:pPr>
        <w:keepNext w:val="0"/>
        <w:spacing w:after="120" w:before="0"/>
      </w:pPr>
      <w:r>
        <w:rPr>
          <w:rFonts w:ascii="Calibri" w:hAnsi="Calibri"/>
          <w:b w:val="0"/>
          <w:i w:val="0"/>
          <w:color w:val="1D1D1D"/>
          <w:sz w:val="19"/>
        </w:rPr>
        <w:t>1. Under 6 months   2. 6 to 24 months   3. 2 to 5 years   4. Over 5 years</w:t>
      </w:r>
    </w:p>
    <w:p>
      <w:pPr>
        <w:keepNext w:val="0"/>
        <w:spacing w:after="160" w:before="0"/>
      </w:pPr>
      <w:r>
        <w:rPr>
          <w:rFonts w:ascii="Calibri" w:hAnsi="Calibri"/>
          <w:b w:val="0"/>
          <w:i w:val="0"/>
          <w:color w:val="1D1D1D"/>
          <w:sz w:val="19"/>
        </w:rPr>
        <w:t>Two more worth a column of their own: did they raise it before deciding, and would they return. A high 'did not raise it' is not an attrition finding, it is a finding about whether anybody in your organisation can raise anything.</w:t>
      </w:r>
    </w:p>
    <w:p>
      <w:r>
        <w:br w:type="page"/>
      </w:r>
    </w:p>
    <w:p>
      <w:pPr>
        <w:pStyle w:val="Heading1"/>
        <w:keepNext/>
        <w:spacing w:after="200" w:before="80"/>
        <w:ind w:left="115"/>
        <w:shd w:val="clear" w:fill="35A4E2"/>
      </w:pPr>
      <w:r>
        <w:rPr>
          <w:rFonts w:ascii="Calibri" w:hAnsi="Calibri"/>
          <w:b/>
          <w:color w:val="FFFFFF"/>
          <w:sz w:val="22"/>
        </w:rPr>
        <w:t>What not to ask, and why</w:t>
      </w:r>
    </w:p>
    <w:p>
      <w:pPr>
        <w:keepNext/>
        <w:spacing w:after="40" w:before="0"/>
        <w:ind w:left="216"/>
      </w:pPr>
      <w:r>
        <w:rPr>
          <w:rFonts w:ascii="Calibri" w:hAnsi="Calibri"/>
          <w:b/>
          <w:i w:val="0"/>
          <w:color w:val="1D1D1D"/>
          <w:sz w:val="20"/>
        </w:rPr>
        <w:t>Anything about pregnancy, family plans or childcare</w:t>
      </w:r>
    </w:p>
    <w:p>
      <w:pPr>
        <w:keepNext w:val="0"/>
        <w:spacing w:after="120" w:before="0"/>
        <w:ind w:left="432"/>
      </w:pPr>
      <w:r>
        <w:rPr>
          <w:rFonts w:ascii="Calibri" w:hAnsi="Calibri"/>
          <w:b w:val="0"/>
          <w:i w:val="0"/>
          <w:color w:val="565656"/>
          <w:sz w:val="19"/>
        </w:rPr>
        <w:t>Irrelevant to every legitimate purpose of an exit interview, and section 68(1) of the Code on Social Security makes varying a woman's conditions of service to her disadvantage unlawful while she is on maternity absence. A question that invites the inference is not worth the finding it will never produce.</w:t>
      </w:r>
    </w:p>
    <w:p>
      <w:pPr>
        <w:keepNext/>
        <w:spacing w:after="40" w:before="0"/>
        <w:ind w:left="216"/>
      </w:pPr>
      <w:r>
        <w:rPr>
          <w:rFonts w:ascii="Calibri" w:hAnsi="Calibri"/>
          <w:b/>
          <w:i w:val="0"/>
          <w:color w:val="1D1D1D"/>
          <w:sz w:val="20"/>
        </w:rPr>
        <w:t>Anything about health or a medical condition</w:t>
      </w:r>
    </w:p>
    <w:p>
      <w:pPr>
        <w:keepNext w:val="0"/>
        <w:spacing w:after="120" w:before="0"/>
        <w:ind w:left="432"/>
      </w:pPr>
      <w:r>
        <w:rPr>
          <w:rFonts w:ascii="Calibri" w:hAnsi="Calibri"/>
          <w:b w:val="0"/>
          <w:i w:val="0"/>
          <w:color w:val="565656"/>
          <w:sz w:val="19"/>
        </w:rPr>
        <w:t>Same reasoning. If they volunteer it, record only what is needed for the settlement and nothing else.</w:t>
      </w:r>
    </w:p>
    <w:p>
      <w:pPr>
        <w:keepNext/>
        <w:spacing w:after="40" w:before="0"/>
        <w:ind w:left="216"/>
      </w:pPr>
      <w:r>
        <w:rPr>
          <w:rFonts w:ascii="Calibri" w:hAnsi="Calibri"/>
          <w:b/>
          <w:i w:val="0"/>
          <w:color w:val="1D1D1D"/>
          <w:sz w:val="20"/>
        </w:rPr>
        <w:t>Caste, religion, marital status or where they are from</w:t>
      </w:r>
    </w:p>
    <w:p>
      <w:pPr>
        <w:keepNext w:val="0"/>
        <w:spacing w:after="120" w:before="0"/>
        <w:ind w:left="432"/>
      </w:pPr>
      <w:r>
        <w:rPr>
          <w:rFonts w:ascii="Calibri" w:hAnsi="Calibri"/>
          <w:b w:val="0"/>
          <w:i w:val="0"/>
          <w:color w:val="565656"/>
          <w:sz w:val="19"/>
        </w:rPr>
        <w:t>No legitimate purpose in this conversation.</w:t>
      </w:r>
    </w:p>
    <w:p>
      <w:pPr>
        <w:keepNext/>
        <w:spacing w:after="40" w:before="0"/>
        <w:ind w:left="216"/>
      </w:pPr>
      <w:r>
        <w:rPr>
          <w:rFonts w:ascii="Calibri" w:hAnsi="Calibri"/>
          <w:b/>
          <w:i w:val="0"/>
          <w:color w:val="1D1D1D"/>
          <w:sz w:val="20"/>
        </w:rPr>
        <w:t>'Do you have any complaints?' as a yes or no box</w:t>
      </w:r>
    </w:p>
    <w:p>
      <w:pPr>
        <w:keepNext w:val="0"/>
        <w:spacing w:after="120" w:before="0"/>
        <w:ind w:left="432"/>
      </w:pPr>
      <w:r>
        <w:rPr>
          <w:rFonts w:ascii="Calibri" w:hAnsi="Calibri"/>
          <w:b w:val="0"/>
          <w:i w:val="0"/>
          <w:color w:val="565656"/>
          <w:sz w:val="19"/>
        </w:rPr>
        <w:t>A tick-box is not a disclosure route, and a 'no' in it proves nothing. Worse, it is often used later as though it did. Section 4 sets out what an actual route looks like.</w:t>
      </w:r>
    </w:p>
    <w:p>
      <w:pPr>
        <w:keepNext/>
        <w:spacing w:after="40" w:before="0"/>
        <w:ind w:left="216"/>
      </w:pPr>
      <w:r>
        <w:rPr>
          <w:rFonts w:ascii="Calibri" w:hAnsi="Calibri"/>
          <w:b/>
          <w:i w:val="0"/>
          <w:color w:val="1D1D1D"/>
          <w:sz w:val="20"/>
        </w:rPr>
        <w:t>'I confirm I have no dues and no outstanding grievances'</w:t>
      </w:r>
    </w:p>
    <w:p>
      <w:pPr>
        <w:keepNext w:val="0"/>
        <w:spacing w:after="120" w:before="0"/>
        <w:ind w:left="432"/>
      </w:pPr>
      <w:r>
        <w:rPr>
          <w:rFonts w:ascii="Calibri" w:hAnsi="Calibri"/>
          <w:b w:val="0"/>
          <w:i w:val="0"/>
          <w:color w:val="565656"/>
          <w:sz w:val="19"/>
        </w:rPr>
        <w:t>This is the line that appears on most exit forms and it does not do what people think. It cannot foreclose a complaint under the POSH Act, to whichever committee covers you, and it cannot waive wages that section 17 of the Code on Wages makes payable: SECTION 60 OF THAT CODE MAKES ANY AGREEMENT BY WHICH AN EMPLOYEE GIVES UP AN AMOUNT DUE UNDER IT NULL AND VOID so far as it reduces the liability to pay. Section 59 is the other half, and it is the reason to keep the record this pack asks for: in a claim for unpaid wages the burden of proving they were paid is on THE EMPLOYER, not on the person who left. Asking somebody to sign it mainly signals that you expected a problem.</w:t>
      </w:r>
    </w:p>
    <w:p>
      <w:pPr>
        <w:keepNext/>
        <w:spacing w:after="40" w:before="0"/>
        <w:ind w:left="216"/>
      </w:pPr>
      <w:r>
        <w:rPr>
          <w:rFonts w:ascii="Calibri" w:hAnsi="Calibri"/>
          <w:b/>
          <w:i w:val="0"/>
          <w:color w:val="1D1D1D"/>
          <w:sz w:val="20"/>
        </w:rPr>
        <w:t>Who they are joining, and for how much, as a required field</w:t>
      </w:r>
    </w:p>
    <w:p>
      <w:pPr>
        <w:keepNext w:val="0"/>
        <w:spacing w:after="120" w:before="0"/>
        <w:ind w:left="432"/>
      </w:pPr>
      <w:r>
        <w:rPr>
          <w:rFonts w:ascii="Calibri" w:hAnsi="Calibri"/>
          <w:b w:val="0"/>
          <w:i w:val="0"/>
          <w:color w:val="565656"/>
          <w:sz w:val="19"/>
        </w:rPr>
        <w:t>Ask it if you like, but make it optional and say so. Required, it reads as leverage over a settlement you are legally obliged to pay anyway.</w:t>
      </w:r>
    </w:p>
    <w:p>
      <w:pPr>
        <w:keepNext/>
        <w:spacing w:after="40" w:before="0"/>
        <w:ind w:left="216"/>
      </w:pPr>
      <w:r>
        <w:rPr>
          <w:rFonts w:ascii="Calibri" w:hAnsi="Calibri"/>
          <w:b/>
          <w:i w:val="0"/>
          <w:color w:val="1D1D1D"/>
          <w:sz w:val="20"/>
        </w:rPr>
        <w:t>Anything that invites them to name and rate a colleague</w:t>
      </w:r>
    </w:p>
    <w:p>
      <w:pPr>
        <w:keepNext w:val="0"/>
        <w:spacing w:after="120" w:before="0"/>
        <w:ind w:left="432"/>
      </w:pPr>
      <w:r>
        <w:rPr>
          <w:rFonts w:ascii="Calibri" w:hAnsi="Calibri"/>
          <w:b w:val="0"/>
          <w:i w:val="0"/>
          <w:color w:val="565656"/>
          <w:sz w:val="19"/>
        </w:rPr>
        <w:t>A named rating of a peer is personal data about a person who is not in the room and has no idea it was collected. Section 6 covers what to do with what they say about people.</w:t>
      </w:r>
    </w:p>
    <w:p>
      <w:pPr>
        <w:pStyle w:val="Heading1"/>
        <w:keepNext/>
        <w:spacing w:after="200" w:before="80"/>
        <w:ind w:left="115"/>
        <w:shd w:val="clear" w:fill="008CDB"/>
      </w:pPr>
      <w:r>
        <w:rPr>
          <w:rFonts w:ascii="Calibri" w:hAnsi="Calibri"/>
          <w:b/>
          <w:color w:val="FFFFFF"/>
          <w:sz w:val="22"/>
        </w:rPr>
        <w:t>Ten checks before your first one</w:t>
      </w:r>
    </w:p>
    <w:p>
      <w:pPr>
        <w:keepNext w:val="0"/>
        <w:spacing w:after="80" w:before="0"/>
        <w:ind w:left="216"/>
      </w:pPr>
      <w:r>
        <w:rPr>
          <w:rFonts w:ascii="Calibri" w:hAnsi="Calibri"/>
          <w:b w:val="0"/>
          <w:i w:val="0"/>
          <w:color w:val="565656"/>
          <w:sz w:val="19"/>
        </w:rPr>
        <w:t>1.  Decide who conducts it, and make sure it is not the person they are leaving. If the reporting manager runs the interview you will get a polite version of the truth.</w:t>
      </w:r>
    </w:p>
    <w:p>
      <w:pPr>
        <w:keepNext w:val="0"/>
        <w:spacing w:after="80" w:before="0"/>
        <w:ind w:left="216"/>
      </w:pPr>
      <w:r>
        <w:rPr>
          <w:rFonts w:ascii="Calibri" w:hAnsi="Calibri"/>
          <w:b w:val="0"/>
          <w:i w:val="0"/>
          <w:color w:val="565656"/>
          <w:sz w:val="19"/>
        </w:rPr>
        <w:t>2.  Read section 4 before your first interview, not after it. The disclosure you are least prepared for is the one most likely to arrive.</w:t>
      </w:r>
    </w:p>
    <w:p>
      <w:pPr>
        <w:keepNext w:val="0"/>
        <w:spacing w:after="80" w:before="0"/>
        <w:ind w:left="216"/>
      </w:pPr>
      <w:r>
        <w:rPr>
          <w:rFonts w:ascii="Calibri" w:hAnsi="Calibri"/>
          <w:b w:val="0"/>
          <w:i w:val="0"/>
          <w:color w:val="565656"/>
          <w:sz w:val="19"/>
        </w:rPr>
        <w:t>3.  Find out today which committee a disclosure would go to, and write the name and contact on the form before you use it. It is your Internal Committee if you have ten or more workers and the complaint is not against the employer; otherwise it is the Local Committee at the office of the District Officer. Section 4 is unusable without that answer.</w:t>
      </w:r>
    </w:p>
    <w:p>
      <w:pPr>
        <w:keepNext w:val="0"/>
        <w:spacing w:after="80" w:before="0"/>
        <w:ind w:left="216"/>
      </w:pPr>
      <w:r>
        <w:rPr>
          <w:rFonts w:ascii="Calibri" w:hAnsi="Calibri"/>
          <w:b w:val="0"/>
          <w:i w:val="0"/>
          <w:color w:val="565656"/>
          <w:sz w:val="19"/>
        </w:rPr>
        <w:t>4.  Put the settlement clock in the calendar on the day the resignation is accepted, not on the day of the interview.</w:t>
      </w:r>
    </w:p>
    <w:p>
      <w:pPr>
        <w:keepNext w:val="0"/>
        <w:spacing w:after="80" w:before="0"/>
        <w:ind w:left="216"/>
      </w:pPr>
      <w:r>
        <w:rPr>
          <w:rFonts w:ascii="Calibri" w:hAnsi="Calibri"/>
          <w:b w:val="0"/>
          <w:i w:val="0"/>
          <w:color w:val="565656"/>
          <w:sz w:val="19"/>
        </w:rPr>
        <w:t>5.  Check whether the Model Standing Orders reach you at all before you promise a service certificate in ten days. The threshold is 300 workers.</w:t>
      </w:r>
    </w:p>
    <w:p>
      <w:pPr>
        <w:keepNext w:val="0"/>
        <w:spacing w:after="80" w:before="0"/>
        <w:ind w:left="216"/>
      </w:pPr>
      <w:r>
        <w:rPr>
          <w:rFonts w:ascii="Calibri" w:hAnsi="Calibri"/>
          <w:b w:val="0"/>
          <w:i w:val="0"/>
          <w:color w:val="565656"/>
          <w:sz w:val="19"/>
        </w:rPr>
        <w:t>6.  Delete the 'no dues and no grievances' line from whatever form you are using now.</w:t>
      </w:r>
    </w:p>
    <w:p>
      <w:pPr>
        <w:keepNext w:val="0"/>
        <w:spacing w:after="80" w:before="0"/>
        <w:ind w:left="216"/>
      </w:pPr>
      <w:r>
        <w:rPr>
          <w:rFonts w:ascii="Calibri" w:hAnsi="Calibri"/>
          <w:b w:val="0"/>
          <w:i w:val="0"/>
          <w:color w:val="565656"/>
          <w:sz w:val="19"/>
        </w:rPr>
        <w:t>7.  Pick ten to fifteen questions from the bank and keep them stable, so answers compare across leavers. Changing the questions every quarter destroys the only thing this data is good for.</w:t>
      </w:r>
    </w:p>
    <w:p>
      <w:pPr>
        <w:keepNext w:val="0"/>
        <w:spacing w:after="80" w:before="0"/>
        <w:ind w:left="216"/>
      </w:pPr>
      <w:r>
        <w:rPr>
          <w:rFonts w:ascii="Calibri" w:hAnsi="Calibri"/>
          <w:b w:val="0"/>
          <w:i w:val="0"/>
          <w:color w:val="565656"/>
          <w:sz w:val="19"/>
        </w:rPr>
        <w:t>8.  Decide before you start what goes in the written record, what goes in the tracker, and what is said to the manager. Section 6 is the hard part and it is easier to settle in advance.</w:t>
      </w:r>
    </w:p>
    <w:p>
      <w:pPr>
        <w:keepNext w:val="0"/>
        <w:spacing w:after="80" w:before="0"/>
        <w:ind w:left="216"/>
      </w:pPr>
      <w:r>
        <w:rPr>
          <w:rFonts w:ascii="Calibri" w:hAnsi="Calibri"/>
          <w:b w:val="0"/>
          <w:i w:val="0"/>
          <w:color w:val="565656"/>
          <w:sz w:val="19"/>
        </w:rPr>
        <w:t>9.  Agree who sees the tracker. A field naming a manager is personal data about that manager.</w:t>
      </w:r>
    </w:p>
    <w:p>
      <w:pPr>
        <w:keepNext w:val="0"/>
        <w:spacing w:after="80" w:before="0"/>
        <w:ind w:left="216"/>
      </w:pPr>
      <w:r>
        <w:rPr>
          <w:rFonts w:ascii="Calibri" w:hAnsi="Calibri"/>
          <w:b w:val="0"/>
          <w:i w:val="0"/>
          <w:color w:val="565656"/>
          <w:sz w:val="19"/>
        </w:rPr>
        <w:t>10.  Set a review date for the questions and the routing, and keep the answers long enough to see a pattern but no longer than you need them.</w:t>
      </w:r>
    </w:p>
    <w:p>
      <w:pPr>
        <w:spacing w:after="160" w:before="160"/>
        <w:pBdr>
          <w:bottom w:val="single" w:sz="6" w:space="1" w:color="D1EAF9"/>
        </w:pBdr>
      </w:pPr>
    </w:p>
    <w:p>
      <w:pPr>
        <w:pStyle w:val="Heading1"/>
        <w:keepNext/>
        <w:spacing w:after="200" w:before="80"/>
        <w:ind w:left="115"/>
        <w:shd w:val="clear" w:fill="35A4E2"/>
      </w:pPr>
      <w:r>
        <w:rPr>
          <w:rFonts w:ascii="Calibri" w:hAnsi="Calibri"/>
          <w:b/>
          <w:color w:val="FFFFFF"/>
          <w:sz w:val="22"/>
        </w:rPr>
        <w:t>What this was read from</w:t>
      </w:r>
    </w:p>
    <w:p>
      <w:pPr>
        <w:spacing w:after="60"/>
        <w:ind w:left="216"/>
      </w:pPr>
      <w:r>
        <w:rPr>
          <w:rFonts w:ascii="Calibri" w:hAnsi="Calibri"/>
          <w:color w:val="565656"/>
          <w:sz w:val="18"/>
        </w:rPr>
        <w:t xml:space="preserve">•  </w:t>
      </w:r>
      <w:r>
        <w:rPr>
          <w:rFonts w:ascii="Calibri" w:hAnsi="Calibri"/>
          <w:color w:val="565656"/>
          <w:sz w:val="18"/>
        </w:rPr>
        <w:t xml:space="preserve">The Sexual Harassment of Women at Workplace (Prevention, Prohibition and Redressal) Act, 2013 (No. 14 of 2013), s.9(1) and its two provisos, s.16 and s.19. Read from the copy at India Code, </w:t>
      </w:r>
      <w:hyperlink r:id="rId10">
        <w:r>
          <w:rPr>
            <w:rFonts w:ascii="Calibri" w:hAnsi="Calibri"/>
            <w:color w:val="0B6FA4"/>
            <w:u w:val="single"/>
            <w:sz w:val="18"/>
          </w:rPr>
          <w:t xml:space="preserve">indiacode.gov.in/handle/123456789/567949,</w:t>
        </w:r>
      </w:hyperlink>
      <w:r>
        <w:rPr>
          <w:rFonts w:ascii="Calibri" w:hAnsi="Calibri"/>
          <w:color w:val="565656"/>
          <w:sz w:val="18"/>
        </w:rPr>
        <w:t xml:space="preserve"> fetched 17-Sep-2026.</w:t>
      </w:r>
    </w:p>
    <w:p>
      <w:pPr>
        <w:spacing w:after="60"/>
        <w:ind w:left="216"/>
      </w:pPr>
      <w:r>
        <w:rPr>
          <w:rFonts w:ascii="Calibri" w:hAnsi="Calibri"/>
          <w:color w:val="565656"/>
          <w:sz w:val="18"/>
        </w:rPr>
        <w:t xml:space="preserve">•  </w:t>
      </w:r>
      <w:r>
        <w:rPr>
          <w:rFonts w:ascii="Calibri" w:hAnsi="Calibri"/>
          <w:color w:val="565656"/>
          <w:sz w:val="18"/>
        </w:rPr>
        <w:t xml:space="preserve">Code on Wages, 2019 (No. 29 of 2019), s.17(2) for the two working days, s.17(3) for the appropriate Government's power to set another limit, and s.17(4), which preserves a time limit fixed by any other law, so check your State shops and establishments Act. </w:t>
      </w:r>
      <w:hyperlink r:id="rId11">
        <w:r>
          <w:rPr>
            <w:rFonts w:ascii="Calibri" w:hAnsi="Calibri"/>
            <w:color w:val="0B6FA4"/>
            <w:u w:val="single"/>
            <w:sz w:val="18"/>
          </w:rPr>
          <w:t xml:space="preserve">labour.maharashtra.gov.in/sites/default/files/2026-04/the-code-on-wages-2019-no-29-of-2019.pdf</w:t>
        </w:r>
      </w:hyperlink>
    </w:p>
    <w:p>
      <w:pPr>
        <w:spacing w:after="60"/>
        <w:ind w:left="216"/>
      </w:pPr>
      <w:r>
        <w:rPr>
          <w:rFonts w:ascii="Calibri" w:hAnsi="Calibri"/>
          <w:color w:val="565656"/>
          <w:sz w:val="18"/>
        </w:rPr>
        <w:t xml:space="preserve">•  </w:t>
      </w:r>
      <w:r>
        <w:rPr>
          <w:rFonts w:ascii="Calibri" w:hAnsi="Calibri"/>
          <w:color w:val="565656"/>
          <w:sz w:val="18"/>
        </w:rPr>
        <w:t xml:space="preserve">Industrial Relations Code, 2020 (No. 35 of 2020), s.28(1) and s.29(2), for the three-hundred-worker threshold at which the Model Standing Orders apply. </w:t>
      </w:r>
      <w:hyperlink r:id="rId12">
        <w:r>
          <w:rPr>
            <w:rFonts w:ascii="Calibri" w:hAnsi="Calibri"/>
            <w:color w:val="0B6FA4"/>
            <w:u w:val="single"/>
            <w:sz w:val="18"/>
          </w:rPr>
          <w:t xml:space="preserve">labour.maharashtra.gov.in/sites/default/files/2026-04/the-industrial-relations-code-2020-no-35-of-2020.pdf</w:t>
        </w:r>
      </w:hyperlink>
    </w:p>
    <w:p>
      <w:pPr>
        <w:spacing w:after="60"/>
        <w:ind w:left="216"/>
      </w:pPr>
      <w:r>
        <w:rPr>
          <w:rFonts w:ascii="Calibri" w:hAnsi="Calibri"/>
          <w:color w:val="565656"/>
          <w:sz w:val="18"/>
        </w:rPr>
        <w:t xml:space="preserve">•  </w:t>
      </w:r>
      <w:r>
        <w:rPr>
          <w:rFonts w:ascii="Calibri" w:hAnsi="Calibri"/>
          <w:color w:val="565656"/>
          <w:sz w:val="18"/>
        </w:rPr>
        <w:t>Model Standing Orders, 2026, for the ten-day service certificate. WE COULD NOT FIND AN OFFICIAL COPY OF THIS INSTRUMENT to link, searched 07-Aug-2026 and again 17-Sep-2026 across India Code, the e-Gazette and labour.gov.in. Everything else in this list you can open and read. This one you cannot, so treat the ten days as the sensible benchmark it is and confirm the three-hundred-worker threshold reaches you before you promise it.</w:t>
      </w:r>
    </w:p>
    <w:p>
      <w:pPr>
        <w:spacing w:after="60"/>
        <w:ind w:left="216"/>
      </w:pPr>
      <w:r>
        <w:rPr>
          <w:rFonts w:ascii="Calibri" w:hAnsi="Calibri"/>
          <w:color w:val="565656"/>
          <w:sz w:val="18"/>
        </w:rPr>
        <w:t xml:space="preserve">•  </w:t>
      </w:r>
      <w:r>
        <w:rPr>
          <w:rFonts w:ascii="Calibri" w:hAnsi="Calibri"/>
          <w:color w:val="565656"/>
          <w:sz w:val="18"/>
        </w:rPr>
        <w:t xml:space="preserve">Occupational Safety, Health and Working Conditions Code, 2020 (No. 37 of 2020), s.32(1)(vi), for leave encashment on exit, and s.32(1)(vi)(a) and (b) for when it has to be paid. </w:t>
      </w:r>
      <w:hyperlink r:id="rId13">
        <w:r>
          <w:rPr>
            <w:rFonts w:ascii="Calibri" w:hAnsi="Calibri"/>
            <w:color w:val="0B6FA4"/>
            <w:u w:val="single"/>
            <w:sz w:val="18"/>
          </w:rPr>
          <w:t xml:space="preserve">indiacode.nic.in/bitstream/123456789/22041/1/a2020-37.pdf</w:t>
        </w:r>
      </w:hyperlink>
    </w:p>
    <w:p>
      <w:pPr>
        <w:spacing w:after="60"/>
        <w:ind w:left="216"/>
      </w:pPr>
      <w:r>
        <w:rPr>
          <w:rFonts w:ascii="Calibri" w:hAnsi="Calibri"/>
          <w:color w:val="565656"/>
          <w:sz w:val="18"/>
        </w:rPr>
        <w:t xml:space="preserve">•  </w:t>
      </w:r>
      <w:r>
        <w:rPr>
          <w:rFonts w:ascii="Calibri" w:hAnsi="Calibri"/>
          <w:color w:val="565656"/>
          <w:sz w:val="18"/>
        </w:rPr>
        <w:t xml:space="preserve">Code on Social Security, 2020 (No. 36 of 2020), s.68(1), named once at the 'what not to ask' list. </w:t>
      </w:r>
      <w:hyperlink r:id="rId14">
        <w:r>
          <w:rPr>
            <w:rFonts w:ascii="Calibri" w:hAnsi="Calibri"/>
            <w:color w:val="0B6FA4"/>
            <w:u w:val="single"/>
            <w:sz w:val="18"/>
          </w:rPr>
          <w:t xml:space="preserve">labour.maharashtra.gov.in/sites/default/files/2026-04/the-code-on-social-security-2020-no-36-of-2020.pdf</w:t>
        </w:r>
      </w:hyperlink>
    </w:p>
    <w:p>
      <w:pPr>
        <w:spacing w:after="60"/>
        <w:ind w:left="216"/>
      </w:pPr>
      <w:r>
        <w:rPr>
          <w:rFonts w:ascii="Calibri" w:hAnsi="Calibri"/>
          <w:color w:val="565656"/>
          <w:sz w:val="18"/>
        </w:rPr>
        <w:t xml:space="preserve">•  </w:t>
      </w:r>
      <w:r>
        <w:rPr>
          <w:rFonts w:ascii="Calibri" w:hAnsi="Calibri"/>
          <w:color w:val="565656"/>
          <w:sz w:val="18"/>
        </w:rPr>
        <w:t xml:space="preserve">Digital Personal Data Protection Act, 2023 (No. 22 of 2023), s.3(a) for what it reaches, </w:t>
      </w:r>
      <w:hyperlink r:id="rId15">
        <w:r>
          <w:rPr>
            <w:rFonts w:ascii="Calibri" w:hAnsi="Calibri"/>
            <w:color w:val="0B6FA4"/>
            <w:u w:val="single"/>
            <w:sz w:val="18"/>
          </w:rPr>
          <w:t xml:space="preserve">indiacode.gov.in/handle/123456789/496508,</w:t>
        </w:r>
      </w:hyperlink>
      <w:r>
        <w:rPr>
          <w:rFonts w:ascii="Calibri" w:hAnsi="Calibri"/>
          <w:color w:val="565656"/>
          <w:sz w:val="18"/>
        </w:rPr>
        <w:t xml:space="preserve"> for the employer's position as a Data Fiduciary over what an exit interview records about people who are not in the room.</w:t>
      </w:r>
    </w:p>
    <w:p>
      <w:pPr>
        <w:spacing w:after="60"/>
        <w:ind w:left="216"/>
      </w:pPr>
      <w:r>
        <w:rPr>
          <w:rFonts w:ascii="Calibri" w:hAnsi="Calibri"/>
          <w:color w:val="565656"/>
          <w:sz w:val="18"/>
        </w:rPr>
        <w:t xml:space="preserve">•  </w:t>
      </w:r>
      <w:r>
        <w:rPr>
          <w:rFonts w:ascii="Calibri" w:hAnsi="Calibri"/>
          <w:color w:val="565656"/>
          <w:sz w:val="18"/>
        </w:rPr>
        <w:t>NO INDIAN STATUTE REQUIRES AN EXIT INTERVIEW. Nothing in this file is a compliance obligation, and running one discharges none of the duties above.</w:t>
      </w:r>
    </w:p>
    <w:p>
      <w:pPr>
        <w:keepNext w:val="0"/>
        <w:spacing w:after="80" w:before="0"/>
      </w:pPr>
      <w:r>
        <w:rPr>
          <w:rFonts w:ascii="Calibri" w:hAnsi="Calibri"/>
          <w:b w:val="0"/>
          <w:i/>
          <w:color w:val="565656"/>
          <w:sz w:val="18"/>
        </w:rPr>
        <w:t>Provided by Attendo (formerly Petpooja Payroll) for general guidance. It is not legal advice. Statutes, rules and a decision of a court or authority can change what applies to you.</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8A8A8A"/>
        <w:sz w:val="15"/>
      </w:rPr>
      <w:t xml:space="preserve">Attendo (formerly Petpooja Payroll)  ·  attendohr.com  ·  Exit Interview Form and Question Bank  ·  reviewed 17-Sep-2026  ·  page </w:t>
    </w:r>
    <w:r>
      <w:rPr>
        <w:rFonts w:ascii="Calibri" w:hAnsi="Calibri"/>
        <w:color w:val="8A8A8A"/>
        <w:sz w:val="15"/>
      </w:rPr>
      <w:fldChar w:fldCharType="begin"/>
    </w:r>
    <w:r>
      <w:rPr>
        <w:rFonts w:ascii="Calibri" w:hAnsi="Calibri"/>
        <w:color w:val="8A8A8A"/>
        <w:sz w:val="15"/>
      </w:rPr>
      <w:instrText xml:space="preserve"> PAGE </w:instrText>
    </w:r>
    <w:r>
      <w:rPr>
        <w:rFonts w:ascii="Calibri" w:hAnsi="Calibri"/>
        <w:color w:val="8A8A8A"/>
        <w:sz w:val="15"/>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D1D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indiacode.gov.in/handle/123456789/567949" TargetMode="External"/><Relationship Id="rId11" Type="http://schemas.openxmlformats.org/officeDocument/2006/relationships/hyperlink" Target="https://labour.maharashtra.gov.in/sites/default/files/2026-04/the-code-on-wages-2019-no-29-of-2019.pdf" TargetMode="External"/><Relationship Id="rId12" Type="http://schemas.openxmlformats.org/officeDocument/2006/relationships/hyperlink" Target="https://labour.maharashtra.gov.in/sites/default/files/2026-04/the-industrial-relations-code-2020-no-35-of-2020.pdf" TargetMode="External"/><Relationship Id="rId13" Type="http://schemas.openxmlformats.org/officeDocument/2006/relationships/hyperlink" Target="https://indiacode.nic.in/bitstream/123456789/22041/1/a2020-37.pdf" TargetMode="External"/><Relationship Id="rId14" Type="http://schemas.openxmlformats.org/officeDocument/2006/relationships/hyperlink" Target="https://labour.maharashtra.gov.in/sites/default/files/2026-04/the-code-on-social-security-2020-no-36-of-2020.pdf" TargetMode="External"/><Relationship Id="rId15" Type="http://schemas.openxmlformats.org/officeDocument/2006/relationships/hyperlink" Target="https://indiacode.gov.in/handle/123456789/4965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Exit Interview Form and Question Bank</dc:title>
  <dc:subject/>
  <dc:creator>Attendo</dc:creator>
  <cp:keywords>exit interview form, exit interview questions, employee exit, attrition</cp:keywords>
  <dc:description>An exit interview form, a thirty question bank, and what to do when a disclosure leaves the exit process. Reviewed 17-Sep-2026.</dc:description>
  <cp:lastModifiedBy/>
  <cp:revision>1</cp:revision>
  <dcterms:created xsi:type="dcterms:W3CDTF">2013-12-23T23:15:00Z</dcterms:created>
  <dcterms:modified xsi:type="dcterms:W3CDTF">2013-12-23T23:15:00Z</dcterms:modified>
  <cp:category>HR Template</cp:category>
</cp:coreProperties>
</file>