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48"/>
        </w:rPr>
        <w:t>Equal Remuneration Pay Audit Pack</w:t>
      </w:r>
    </w:p>
    <w:p>
      <w:pPr>
        <w:keepNext w:val="0"/>
        <w:spacing w:after="320" w:before="0"/>
      </w:pPr>
      <w:r>
        <w:rPr>
          <w:rFonts w:ascii="Calibri" w:hAnsi="Calibri"/>
          <w:b w:val="0"/>
          <w:i w:val="0"/>
          <w:color w:val="565656"/>
          <w:sz w:val="26"/>
        </w:rPr>
        <w:t>Same work, same pay, under the Code on Wages</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 offices, factories, hospitals, stores, warehouses and kitchens</w:t>
      </w:r>
    </w:p>
    <w:p>
      <w:pPr>
        <w:keepNext w:val="0"/>
        <w:spacing w:after="60" w:before="0"/>
        <w:ind w:left="360"/>
      </w:pPr>
      <w:r>
        <w:rPr>
          <w:rFonts w:ascii="Calibri" w:hAnsi="Calibri"/>
          <w:b w:val="0"/>
          <w:i w:val="0"/>
          <w:color w:val="565656"/>
          <w:sz w:val="21"/>
        </w:rPr>
        <w:t>•  What section 3 requires, and its narrow exception</w:t>
      </w:r>
    </w:p>
    <w:p>
      <w:pPr>
        <w:keepNext w:val="0"/>
        <w:spacing w:after="60" w:before="0"/>
        <w:ind w:left="360"/>
      </w:pPr>
      <w:r>
        <w:rPr>
          <w:rFonts w:ascii="Calibri" w:hAnsi="Calibri"/>
          <w:b w:val="0"/>
          <w:i w:val="0"/>
          <w:color w:val="565656"/>
          <w:sz w:val="21"/>
        </w:rPr>
        <w:t>•  The wider equal-pay base: HRA, conveyance and overtime counted</w:t>
      </w:r>
    </w:p>
    <w:p>
      <w:pPr>
        <w:keepNext w:val="0"/>
        <w:spacing w:after="60" w:before="0"/>
        <w:ind w:left="360"/>
      </w:pPr>
      <w:r>
        <w:rPr>
          <w:rFonts w:ascii="Calibri" w:hAnsi="Calibri"/>
          <w:b w:val="0"/>
          <w:i w:val="0"/>
          <w:color w:val="565656"/>
          <w:sz w:val="21"/>
        </w:rPr>
        <w:t>•  A worked comparison of two employees</w:t>
      </w:r>
    </w:p>
    <w:p>
      <w:pPr>
        <w:keepNext w:val="0"/>
        <w:spacing w:after="60" w:before="0"/>
        <w:ind w:left="360"/>
      </w:pPr>
      <w:r>
        <w:rPr>
          <w:rFonts w:ascii="Calibri" w:hAnsi="Calibri"/>
          <w:b w:val="0"/>
          <w:i w:val="0"/>
          <w:color w:val="565656"/>
          <w:sz w:val="21"/>
        </w:rPr>
        <w:t>•  Six formats, eight mistakes and thirteen citations</w:t>
      </w:r>
    </w:p>
    <w:p>
      <w:pPr>
        <w:keepNext w:val="0"/>
        <w:spacing w:after="200" w:before="0"/>
      </w:pPr>
      <w:r>
        <w:rPr>
          <w:rFonts w:ascii="Calibri" w:hAnsi="Calibri"/>
          <w:b w:val="0"/>
          <w:i w:val="0"/>
          <w:color w:val="1D1D1D"/>
          <w:sz w:val="21"/>
        </w:rPr>
      </w:r>
    </w:p>
    <w:p>
      <w:pPr>
        <w:keepNext w:val="0"/>
        <w:spacing w:after="120" w:before="0"/>
      </w:pPr>
      <w:r>
        <w:rPr>
          <w:rFonts w:ascii="Calibri" w:hAnsi="Calibri"/>
          <w:b w:val="0"/>
          <w:i/>
          <w:color w:val="565656"/>
          <w:sz w:val="18"/>
        </w:rPr>
        <w:t>From Attendo (formerly Petpooja Payroll). Reviewed 09-Oct-2026. General guidance, not legal advice.</w:t>
      </w:r>
    </w:p>
    <w:p>
      <w:r>
        <w:br w:type="page"/>
      </w:r>
    </w:p>
    <w:p>
      <w:pPr>
        <w:pStyle w:val="Heading1"/>
        <w:keepNext/>
        <w:spacing w:after="200" w:before="80"/>
        <w:ind w:left="115"/>
        <w:shd w:val="clear" w:fill="008CDB"/>
      </w:pPr>
      <w:r>
        <w:rPr>
          <w:rFonts w:ascii="Calibri" w:hAnsi="Calibri"/>
          <w:b/>
          <w:color w:val="FFFFFF"/>
          <w:sz w:val="22"/>
        </w:rPr>
        <w:t>CONTENTS</w:t>
      </w:r>
    </w:p>
    <w:p>
      <w:pPr>
        <w:keepNext w:val="0"/>
        <w:spacing w:after="80" w:before="0"/>
      </w:pPr>
      <w:r>
        <w:rPr>
          <w:rFonts w:ascii="Calibri" w:hAnsi="Calibri"/>
          <w:b w:val="0"/>
          <w:i w:val="0"/>
          <w:color w:val="1D1D1D"/>
          <w:sz w:val="20"/>
        </w:rPr>
        <w:t>1.  What the Code requires</w:t>
      </w:r>
    </w:p>
    <w:p>
      <w:pPr>
        <w:keepNext w:val="0"/>
        <w:spacing w:after="80" w:before="0"/>
      </w:pPr>
      <w:r>
        <w:rPr>
          <w:rFonts w:ascii="Calibri" w:hAnsi="Calibri"/>
          <w:b w:val="0"/>
          <w:i w:val="0"/>
          <w:color w:val="1D1D1D"/>
          <w:sz w:val="20"/>
        </w:rPr>
        <w:t>2.  The equal-pay base</w:t>
      </w:r>
    </w:p>
    <w:p>
      <w:pPr>
        <w:keepNext w:val="0"/>
        <w:spacing w:after="80" w:before="0"/>
      </w:pPr>
      <w:r>
        <w:rPr>
          <w:rFonts w:ascii="Calibri" w:hAnsi="Calibri"/>
          <w:b w:val="0"/>
          <w:i w:val="0"/>
          <w:color w:val="1D1D1D"/>
          <w:sz w:val="20"/>
        </w:rPr>
        <w:t>3.  A worked comparison</w:t>
      </w:r>
    </w:p>
    <w:p>
      <w:pPr>
        <w:keepNext w:val="0"/>
        <w:spacing w:after="80" w:before="0"/>
      </w:pPr>
      <w:r>
        <w:rPr>
          <w:rFonts w:ascii="Calibri" w:hAnsi="Calibri"/>
          <w:b w:val="0"/>
          <w:i w:val="0"/>
          <w:color w:val="1D1D1D"/>
          <w:sz w:val="20"/>
        </w:rPr>
        <w:t>4.  Six formats</w:t>
      </w:r>
    </w:p>
    <w:p>
      <w:pPr>
        <w:keepNext w:val="0"/>
        <w:spacing w:after="80" w:before="0"/>
      </w:pPr>
      <w:r>
        <w:rPr>
          <w:rFonts w:ascii="Calibri" w:hAnsi="Calibri"/>
          <w:b w:val="0"/>
          <w:i w:val="0"/>
          <w:color w:val="1D1D1D"/>
          <w:sz w:val="20"/>
        </w:rPr>
        <w:t>5.  Eight mistakes</w:t>
      </w:r>
    </w:p>
    <w:p>
      <w:pPr>
        <w:keepNext w:val="0"/>
        <w:spacing w:after="80" w:before="0"/>
      </w:pPr>
      <w:r>
        <w:rPr>
          <w:rFonts w:ascii="Calibri" w:hAnsi="Calibri"/>
          <w:b w:val="0"/>
          <w:i w:val="0"/>
          <w:color w:val="1D1D1D"/>
          <w:sz w:val="20"/>
        </w:rPr>
        <w:t>6.  What this pack could not settle</w:t>
      </w:r>
    </w:p>
    <w:p>
      <w:pPr>
        <w:keepNext w:val="0"/>
        <w:spacing w:after="80" w:before="0"/>
      </w:pPr>
      <w:r>
        <w:rPr>
          <w:rFonts w:ascii="Calibri" w:hAnsi="Calibri"/>
          <w:b w:val="0"/>
          <w:i w:val="0"/>
          <w:color w:val="1D1D1D"/>
          <w:sz w:val="20"/>
        </w:rPr>
        <w:t>7.  Thirteen citations</w:t>
      </w:r>
    </w:p>
    <w:p>
      <w:pPr>
        <w:keepNext w:val="0"/>
        <w:spacing w:after="160" w:before="0"/>
      </w:pPr>
      <w:r>
        <w:rPr>
          <w:rFonts w:ascii="Calibri" w:hAnsi="Calibri"/>
          <w:b w:val="0"/>
          <w:i w:val="0"/>
          <w:color w:val="1D1D1D"/>
          <w:sz w:val="21"/>
        </w:rPr>
      </w:r>
    </w:p>
    <w:p>
      <w:pPr>
        <w:keepNext w:val="0"/>
        <w:spacing w:after="160" w:before="0"/>
        <w:ind w:left="216"/>
        <w:shd w:val="clear" w:fill="F4FAFE"/>
      </w:pPr>
      <w:r>
        <w:rPr>
          <w:rFonts w:ascii="Calibri" w:hAnsi="Calibri"/>
          <w:b w:val="0"/>
          <w:i w:val="0"/>
          <w:color w:val="1D1D1D"/>
          <w:sz w:val="20"/>
        </w:rPr>
        <w:t>In a hurry? Pick two roles, fill Format 01, then Format 02. If there is a gap, raise the lower pay with Format 03.</w:t>
      </w:r>
    </w:p>
    <w:p>
      <w:r>
        <w:br w:type="page"/>
      </w:r>
    </w:p>
    <w:p>
      <w:pPr>
        <w:pStyle w:val="Heading1"/>
        <w:keepNext/>
        <w:spacing w:after="200" w:before="80"/>
        <w:ind w:left="115"/>
        <w:shd w:val="clear" w:fill="008CDB"/>
      </w:pPr>
      <w:r>
        <w:rPr>
          <w:rFonts w:ascii="Calibri" w:hAnsi="Calibri"/>
          <w:b/>
          <w:color w:val="FFFFFF"/>
          <w:sz w:val="22"/>
        </w:rPr>
        <w:t>1.  WHAT THE CODE REQUIRES</w:t>
      </w:r>
    </w:p>
    <w:p>
      <w:pPr>
        <w:keepNext w:val="0"/>
        <w:spacing w:after="120" w:before="0"/>
      </w:pPr>
      <w:r>
        <w:rPr>
          <w:rFonts w:ascii="Calibri" w:hAnsi="Calibri"/>
          <w:b w:val="0"/>
          <w:i w:val="0"/>
          <w:color w:val="1D1D1D"/>
          <w:sz w:val="20"/>
        </w:rPr>
        <w:t>Section 3 of the Code on Wages, 2019, which replaced the Equal Remuneration Act, 1976 (repealed by section 69):</w:t>
      </w:r>
    </w:p>
    <w:p>
      <w:pPr>
        <w:keepNext w:val="0"/>
        <w:spacing w:after="60" w:before="0"/>
        <w:ind w:left="360"/>
      </w:pPr>
      <w:r>
        <w:rPr>
          <w:rFonts w:ascii="Calibri" w:hAnsi="Calibri"/>
          <w:b w:val="0"/>
          <w:i w:val="0"/>
          <w:color w:val="1D1D1D"/>
          <w:sz w:val="20"/>
        </w:rPr>
        <w:t>•  No discrimination among employees on the ground of gender in wages, for the same work or work of a similar nature, by the same employer: section 3(1).</w:t>
      </w:r>
    </w:p>
    <w:p>
      <w:pPr>
        <w:keepNext w:val="0"/>
        <w:spacing w:after="60" w:before="0"/>
        <w:ind w:left="360"/>
      </w:pPr>
      <w:r>
        <w:rPr>
          <w:rFonts w:ascii="Calibri" w:hAnsi="Calibri"/>
          <w:b w:val="0"/>
          <w:i w:val="0"/>
          <w:color w:val="1D1D1D"/>
          <w:sz w:val="20"/>
        </w:rPr>
        <w:t>•  No reducing anyone's wages to comply: section 3(2)(i).</w:t>
      </w:r>
    </w:p>
    <w:p>
      <w:pPr>
        <w:keepNext w:val="0"/>
        <w:spacing w:after="60" w:before="0"/>
        <w:ind w:left="360"/>
      </w:pPr>
      <w:r>
        <w:rPr>
          <w:rFonts w:ascii="Calibri" w:hAnsi="Calibri"/>
          <w:b w:val="0"/>
          <w:i w:val="0"/>
          <w:color w:val="1D1D1D"/>
          <w:sz w:val="20"/>
        </w:rPr>
        <w:t>•  No discrimination on the ground of sex in recruitment for such work or in conditions of employment, except where the employment of women in such work is prohibited or restricted by or under any law: section 3(2)(ii).</w:t>
      </w:r>
    </w:p>
    <w:p>
      <w:pPr>
        <w:pStyle w:val="Heading2"/>
        <w:keepNext/>
        <w:spacing w:after="60" w:before="160"/>
      </w:pPr>
      <w:r>
        <w:rPr>
          <w:rFonts w:ascii="Calibri" w:hAnsi="Calibri"/>
          <w:b/>
          <w:color w:val="1D1D1D"/>
          <w:sz w:val="21"/>
        </w:rPr>
        <w:t>Same work, defined</w:t>
      </w:r>
    </w:p>
    <w:p>
      <w:pPr>
        <w:keepNext w:val="0"/>
        <w:spacing w:after="160" w:before="0"/>
      </w:pPr>
      <w:r>
        <w:rPr>
          <w:rFonts w:ascii="Calibri" w:hAnsi="Calibri"/>
          <w:b w:val="0"/>
          <w:i w:val="0"/>
          <w:color w:val="1D1D1D"/>
          <w:sz w:val="20"/>
        </w:rPr>
        <w:t>Section 2(v): work in which the skill, effort, experience and responsibility required are the same, under similar working conditions, and any differences are not of practical importance to the terms of employment. A dispute about it goes to the authority the appropriate Government notifies: section 4.</w:t>
      </w:r>
    </w:p>
    <w:p>
      <w:pPr>
        <w:keepNext w:val="0"/>
        <w:spacing w:after="160" w:before="0"/>
        <w:ind w:left="216"/>
        <w:shd w:val="clear" w:fill="FFF8E8"/>
      </w:pPr>
      <w:r>
        <w:rPr>
          <w:rFonts w:ascii="Calibri" w:hAnsi="Calibri"/>
          <w:b w:val="0"/>
          <w:i w:val="0"/>
          <w:color w:val="1D1D1D"/>
          <w:sz w:val="20"/>
        </w:rPr>
        <w:t>Who it covers. Every employer: the Code on Wages has no headcount threshold. Every gender: section 3(1) says gender, and the definition speaks of employees of any gender. And the exception is narrow: section 43 of the OSH Code entitles women to be employed in all establishments for all types of work, and before 6 a.m. or after 7 p.m. with their consent, on the conditions the government prescribes.</w:t>
      </w:r>
    </w:p>
    <w:p>
      <w:pPr>
        <w:keepNext w:val="0"/>
        <w:spacing w:after="120" w:before="0"/>
      </w:pPr>
      <w:r>
        <w:rPr>
          <w:rFonts w:ascii="Calibri" w:hAnsi="Calibri"/>
          <w:b w:val="0"/>
          <w:i w:val="0"/>
          <w:color w:val="1D1D1D"/>
          <w:sz w:val="20"/>
        </w:rPr>
        <w:t>Paying an employee less than is due under the Code is a fine of up to ₹50,000 under section 54(1)(a); our reading is that an equal-pay gap is wages due. Other contraventions, such as discrimination in hiring or reducing someone's pay to comply, carry a fine of up to ₹20,000 under section 54(1)(c), and only for those does the Inspector-cum-Facilitator first give a written chance to comply, unless it is a repeat within five years. An employee, their union or the Inspector-cum-Facilitator can file a claim within three years of it arising, and the authority may add compensation of up to ten times: section 45.</w:t>
      </w:r>
    </w:p>
    <w:p>
      <w:pPr>
        <w:pStyle w:val="Heading2"/>
        <w:keepNext/>
        <w:spacing w:after="60" w:before="160"/>
      </w:pPr>
      <w:r>
        <w:rPr>
          <w:rFonts w:ascii="Calibri" w:hAnsi="Calibri"/>
          <w:b/>
          <w:color w:val="1D1D1D"/>
          <w:sz w:val="21"/>
        </w:rPr>
        <w:t>When a difference is lawful</w:t>
      </w:r>
    </w:p>
    <w:p>
      <w:pPr>
        <w:keepNext w:val="0"/>
        <w:spacing w:after="120" w:before="0"/>
      </w:pPr>
      <w:r>
        <w:rPr>
          <w:rFonts w:ascii="Calibri" w:hAnsi="Calibri"/>
          <w:b w:val="0"/>
          <w:i w:val="0"/>
          <w:color w:val="1D1D1D"/>
          <w:sz w:val="20"/>
        </w:rPr>
        <w:t>Section 3(1) bars a difference made on the ground of gender. Our reading: a difference for the same work that comes from another factor, applied in the same way to everyone, such as length of service or a documented performance rating, is not made on that ground. Be careful with a previous salary or with what someone negotiated: either can carry an old gender gap forward. Write the reason down on Format 02.</w:t>
      </w:r>
    </w:p>
    <w:p>
      <w:pPr>
        <w:keepNext w:val="0"/>
        <w:spacing w:after="120" w:before="0"/>
      </w:pPr>
      <w:r>
        <w:rPr>
          <w:rFonts w:ascii="Calibri" w:hAnsi="Calibri"/>
          <w:b w:val="0"/>
          <w:i w:val="0"/>
          <w:color w:val="1D1D1D"/>
          <w:sz w:val="20"/>
        </w:rPr>
        <w:t>And do not punish anyone for asking. Discharging or dismissing a worker by way of victimisation is an unfair labour practice under item 5(a) of Part I of the Second Schedule to the Industrial Relations Code, 2020, a fine of ₹10,000 to ₹2,00,000 under section 86(5).</w:t>
      </w:r>
    </w:p>
    <w:p>
      <w:pPr>
        <w:spacing w:after="120"/>
        <w:ind w:left="288"/>
      </w:pPr>
      <w:r>
        <w:rPr>
          <w:rFonts w:ascii="Calibri" w:hAnsi="Calibri"/>
          <w:b/>
          <w:color w:val="0069A4"/>
          <w:sz w:val="17"/>
        </w:rPr>
        <w:t xml:space="preserve">Rests on  </w:t>
      </w:r>
      <w:r>
        <w:rPr>
          <w:rFonts w:ascii="Calibri" w:hAnsi="Calibri"/>
          <w:i/>
          <w:color w:val="565656"/>
          <w:sz w:val="17"/>
        </w:rPr>
        <w:t>Code on Wages, 2019, s.2(v), s.3, s.4, s.45, s.54, s.69; OSH Code, 2020, s.43; IR Code, 2020, s.86(5) and Second Schedule, Part I, item 5(a)</w:t>
      </w:r>
    </w:p>
    <w:p>
      <w:r>
        <w:br w:type="page"/>
      </w:r>
    </w:p>
    <w:p>
      <w:pPr>
        <w:pStyle w:val="Heading1"/>
        <w:keepNext/>
        <w:spacing w:after="200" w:before="80"/>
        <w:ind w:left="115"/>
        <w:shd w:val="clear" w:fill="008CDB"/>
      </w:pPr>
      <w:r>
        <w:rPr>
          <w:rFonts w:ascii="Calibri" w:hAnsi="Calibri"/>
          <w:b/>
          <w:color w:val="FFFFFF"/>
          <w:sz w:val="22"/>
        </w:rPr>
        <w:t>2.  THE EQUAL-PAY BASE</w:t>
      </w:r>
    </w:p>
    <w:p>
      <w:pPr>
        <w:keepNext w:val="0"/>
        <w:spacing w:after="120" w:before="0"/>
      </w:pPr>
      <w:r>
        <w:rPr>
          <w:rFonts w:ascii="Calibri" w:hAnsi="Calibri"/>
          <w:b w:val="0"/>
          <w:i w:val="0"/>
          <w:color w:val="1D1D1D"/>
          <w:sz w:val="20"/>
        </w:rPr>
        <w:t>For most purposes the Code's wages leave out house rent allowance, conveyance, overtime and award pay. For equal pay they come back in: the second proviso to section 2(y) says that, for equal wages to all genders, conveyance, house rent allowance, award or settlement pay and overtime are counted. So compare these, not basic pay alone:</w:t>
      </w:r>
    </w:p>
    <w:p>
      <w:pPr>
        <w:keepNext w:val="0"/>
        <w:spacing w:after="60" w:before="0"/>
        <w:ind w:left="360"/>
      </w:pPr>
      <w:r>
        <w:rPr>
          <w:rFonts w:ascii="Calibri" w:hAnsi="Calibri"/>
          <w:b w:val="0"/>
          <w:i w:val="0"/>
          <w:color w:val="1D1D1D"/>
          <w:sz w:val="20"/>
        </w:rPr>
        <w:t>•  Basic pay, dearness allowance and retaining allowance</w:t>
      </w:r>
    </w:p>
    <w:p>
      <w:pPr>
        <w:keepNext w:val="0"/>
        <w:spacing w:after="60" w:before="0"/>
        <w:ind w:left="360"/>
      </w:pPr>
      <w:r>
        <w:rPr>
          <w:rFonts w:ascii="Calibri" w:hAnsi="Calibri"/>
          <w:b w:val="0"/>
          <w:i w:val="0"/>
          <w:color w:val="1D1D1D"/>
          <w:sz w:val="20"/>
        </w:rPr>
        <w:t>•  House rent allowance</w:t>
      </w:r>
    </w:p>
    <w:p>
      <w:pPr>
        <w:keepNext w:val="0"/>
        <w:spacing w:after="60" w:before="0"/>
        <w:ind w:left="360"/>
      </w:pPr>
      <w:r>
        <w:rPr>
          <w:rFonts w:ascii="Calibri" w:hAnsi="Calibri"/>
          <w:b w:val="0"/>
          <w:i w:val="0"/>
          <w:color w:val="1D1D1D"/>
          <w:sz w:val="20"/>
        </w:rPr>
        <w:t>•  Conveyance allowance or travelling concession</w:t>
      </w:r>
    </w:p>
    <w:p>
      <w:pPr>
        <w:keepNext w:val="0"/>
        <w:spacing w:after="60" w:before="0"/>
        <w:ind w:left="360"/>
      </w:pPr>
      <w:r>
        <w:rPr>
          <w:rFonts w:ascii="Calibri" w:hAnsi="Calibri"/>
          <w:b w:val="0"/>
          <w:i w:val="0"/>
          <w:color w:val="1D1D1D"/>
          <w:sz w:val="20"/>
        </w:rPr>
        <w:t>•  Overtime allowance</w:t>
      </w:r>
    </w:p>
    <w:p>
      <w:pPr>
        <w:keepNext w:val="0"/>
        <w:spacing w:after="60" w:before="0"/>
        <w:ind w:left="360"/>
      </w:pPr>
      <w:r>
        <w:rPr>
          <w:rFonts w:ascii="Calibri" w:hAnsi="Calibri"/>
          <w:b w:val="0"/>
          <w:i w:val="0"/>
          <w:color w:val="1D1D1D"/>
          <w:sz w:val="20"/>
        </w:rPr>
        <w:t>•  Remuneration under an award or settlement</w:t>
      </w:r>
    </w:p>
    <w:p>
      <w:pPr>
        <w:spacing w:after="120"/>
        <w:ind w:left="288"/>
      </w:pPr>
      <w:r>
        <w:rPr>
          <w:rFonts w:ascii="Calibri" w:hAnsi="Calibri"/>
          <w:b/>
          <w:color w:val="0069A4"/>
          <w:sz w:val="17"/>
        </w:rPr>
        <w:t xml:space="preserve">Rests on  </w:t>
      </w:r>
      <w:r>
        <w:rPr>
          <w:rFonts w:ascii="Calibri" w:hAnsi="Calibri"/>
          <w:i/>
          <w:color w:val="565656"/>
          <w:sz w:val="17"/>
        </w:rPr>
        <w:t>Code on Wages, 2019, s.2(y), second proviso</w:t>
      </w:r>
    </w:p>
    <w:p>
      <w:r>
        <w:br w:type="page"/>
      </w:r>
    </w:p>
    <w:p>
      <w:pPr>
        <w:pStyle w:val="Heading1"/>
        <w:keepNext/>
        <w:spacing w:after="200" w:before="80"/>
        <w:ind w:left="115"/>
        <w:shd w:val="clear" w:fill="008CDB"/>
      </w:pPr>
      <w:r>
        <w:rPr>
          <w:rFonts w:ascii="Calibri" w:hAnsi="Calibri"/>
          <w:b/>
          <w:color w:val="FFFFFF"/>
          <w:sz w:val="22"/>
        </w:rPr>
        <w:t>3.  A WORKED COMPARISON</w:t>
      </w:r>
    </w:p>
    <w:p>
      <w:pPr>
        <w:keepNext w:val="0"/>
        <w:spacing w:after="160" w:before="0"/>
      </w:pPr>
      <w:r>
        <w:rPr>
          <w:rFonts w:ascii="Calibri" w:hAnsi="Calibri"/>
          <w:b w:val="0"/>
          <w:i w:val="0"/>
          <w:color w:val="1D1D1D"/>
          <w:sz w:val="20"/>
        </w:rPr>
        <w:t>Two assistant accountants in the same team, in the same city, who joined in the same month and hold the same performance rating, both office-based and neither travelling for work, assessed on Format 01 as doing the same work. Every name and figure here is an example.</w:t>
      </w:r>
    </w:p>
    <w:tbl>
      <w:tblPr>
        <w:tblStyle w:val="TableGrid"/>
        <w:tblW w:type="auto" w:w="0"/>
        <w:tblLook w:firstColumn="1" w:firstRow="1" w:lastColumn="0" w:lastRow="0" w:noHBand="0" w:noVBand="1" w:val="04A0"/>
      </w:tblPr>
      <w:tblGrid>
        <w:gridCol w:w="3216"/>
        <w:gridCol w:w="3216"/>
        <w:gridCol w:w="3216"/>
      </w:tblGrid>
      <w:tr>
        <w:tc>
          <w:tcPr>
            <w:tcW w:type="dxa" w:w="3744"/>
          </w:tcPr>
          <w:p>
            <w:pPr>
              <w:spacing w:after="40"/>
              <w:shd w:val="clear" w:fill="E8F4FC"/>
            </w:pPr>
            <w:r/>
            <w:r>
              <w:rPr>
                <w:rFonts w:ascii="Calibri" w:hAnsi="Calibri"/>
                <w:b/>
                <w:color w:val="0069A4"/>
                <w:sz w:val="18"/>
              </w:rPr>
              <w:t>Component</w:t>
            </w:r>
          </w:p>
        </w:tc>
        <w:tc>
          <w:tcPr>
            <w:tcW w:type="dxa" w:w="2880"/>
          </w:tcPr>
          <w:p>
            <w:pPr>
              <w:spacing w:after="40"/>
              <w:shd w:val="clear" w:fill="E8F4FC"/>
            </w:pPr>
            <w:r/>
            <w:r>
              <w:rPr>
                <w:rFonts w:ascii="Calibri" w:hAnsi="Calibri"/>
                <w:b/>
                <w:color w:val="0069A4"/>
                <w:sz w:val="18"/>
              </w:rPr>
              <w:t>Employee A, woman (an example)</w:t>
            </w:r>
          </w:p>
        </w:tc>
        <w:tc>
          <w:tcPr>
            <w:tcW w:type="dxa" w:w="2880"/>
          </w:tcPr>
          <w:p>
            <w:pPr>
              <w:spacing w:after="40"/>
              <w:shd w:val="clear" w:fill="E8F4FC"/>
            </w:pPr>
            <w:r/>
            <w:r>
              <w:rPr>
                <w:rFonts w:ascii="Calibri" w:hAnsi="Calibri"/>
                <w:b/>
                <w:color w:val="0069A4"/>
                <w:sz w:val="18"/>
              </w:rPr>
              <w:t>Employee B, man (an example)</w:t>
            </w:r>
          </w:p>
        </w:tc>
      </w:tr>
      <w:tr>
        <w:tc>
          <w:tcPr>
            <w:tcW w:type="dxa" w:w="3744"/>
          </w:tcPr>
          <w:p>
            <w:pPr>
              <w:spacing w:after="40"/>
            </w:pPr>
            <w:r/>
            <w:r>
              <w:rPr>
                <w:rFonts w:ascii="Calibri" w:hAnsi="Calibri"/>
                <w:color w:val="565656"/>
                <w:sz w:val="18"/>
              </w:rPr>
              <w:t>Basic pay and DA</w:t>
            </w:r>
          </w:p>
        </w:tc>
        <w:tc>
          <w:tcPr>
            <w:tcW w:type="dxa" w:w="2880"/>
          </w:tcPr>
          <w:p>
            <w:pPr>
              <w:spacing w:after="40"/>
            </w:pPr>
            <w:r/>
            <w:r>
              <w:rPr>
                <w:rFonts w:ascii="Calibri" w:hAnsi="Calibri"/>
                <w:color w:val="565656"/>
                <w:sz w:val="18"/>
              </w:rPr>
              <w:t>₹20,000</w:t>
            </w:r>
          </w:p>
        </w:tc>
        <w:tc>
          <w:tcPr>
            <w:tcW w:type="dxa" w:w="2880"/>
          </w:tcPr>
          <w:p>
            <w:pPr>
              <w:spacing w:after="40"/>
            </w:pPr>
            <w:r/>
            <w:r>
              <w:rPr>
                <w:rFonts w:ascii="Calibri" w:hAnsi="Calibri"/>
                <w:color w:val="565656"/>
                <w:sz w:val="18"/>
              </w:rPr>
              <w:t>₹20,000</w:t>
            </w:r>
          </w:p>
        </w:tc>
      </w:tr>
      <w:tr>
        <w:tc>
          <w:tcPr>
            <w:tcW w:type="dxa" w:w="3744"/>
          </w:tcPr>
          <w:p>
            <w:pPr>
              <w:spacing w:after="40"/>
            </w:pPr>
            <w:r/>
            <w:r>
              <w:rPr>
                <w:rFonts w:ascii="Calibri" w:hAnsi="Calibri"/>
                <w:color w:val="565656"/>
                <w:sz w:val="18"/>
              </w:rPr>
              <w:t>House rent allowance</w:t>
            </w:r>
          </w:p>
        </w:tc>
        <w:tc>
          <w:tcPr>
            <w:tcW w:type="dxa" w:w="2880"/>
          </w:tcPr>
          <w:p>
            <w:pPr>
              <w:spacing w:after="40"/>
            </w:pPr>
            <w:r/>
            <w:r>
              <w:rPr>
                <w:rFonts w:ascii="Calibri" w:hAnsi="Calibri"/>
                <w:color w:val="565656"/>
                <w:sz w:val="18"/>
              </w:rPr>
              <w:t>₹4,000</w:t>
            </w:r>
          </w:p>
        </w:tc>
        <w:tc>
          <w:tcPr>
            <w:tcW w:type="dxa" w:w="2880"/>
          </w:tcPr>
          <w:p>
            <w:pPr>
              <w:spacing w:after="40"/>
            </w:pPr>
            <w:r/>
            <w:r>
              <w:rPr>
                <w:rFonts w:ascii="Calibri" w:hAnsi="Calibri"/>
                <w:color w:val="565656"/>
                <w:sz w:val="18"/>
              </w:rPr>
              <w:t>₹6,000</w:t>
            </w:r>
          </w:p>
        </w:tc>
      </w:tr>
      <w:tr>
        <w:tc>
          <w:tcPr>
            <w:tcW w:type="dxa" w:w="3744"/>
          </w:tcPr>
          <w:p>
            <w:pPr>
              <w:spacing w:after="40"/>
            </w:pPr>
            <w:r/>
            <w:r>
              <w:rPr>
                <w:rFonts w:ascii="Calibri" w:hAnsi="Calibri"/>
                <w:color w:val="565656"/>
                <w:sz w:val="18"/>
              </w:rPr>
              <w:t>Conveyance allowance</w:t>
            </w:r>
          </w:p>
        </w:tc>
        <w:tc>
          <w:tcPr>
            <w:tcW w:type="dxa" w:w="2880"/>
          </w:tcPr>
          <w:p>
            <w:pPr>
              <w:spacing w:after="40"/>
            </w:pPr>
            <w:r/>
            <w:r>
              <w:rPr>
                <w:rFonts w:ascii="Calibri" w:hAnsi="Calibri"/>
                <w:color w:val="565656"/>
                <w:sz w:val="18"/>
              </w:rPr>
              <w:t>₹0</w:t>
            </w:r>
          </w:p>
        </w:tc>
        <w:tc>
          <w:tcPr>
            <w:tcW w:type="dxa" w:w="2880"/>
          </w:tcPr>
          <w:p>
            <w:pPr>
              <w:spacing w:after="40"/>
            </w:pPr>
            <w:r/>
            <w:r>
              <w:rPr>
                <w:rFonts w:ascii="Calibri" w:hAnsi="Calibri"/>
                <w:color w:val="565656"/>
                <w:sz w:val="18"/>
              </w:rPr>
              <w:t>₹1,600</w:t>
            </w:r>
          </w:p>
        </w:tc>
      </w:tr>
      <w:tr>
        <w:tc>
          <w:tcPr>
            <w:tcW w:type="dxa" w:w="3744"/>
          </w:tcPr>
          <w:p>
            <w:pPr>
              <w:spacing w:after="40"/>
            </w:pPr>
            <w:r/>
            <w:r>
              <w:rPr>
                <w:rFonts w:ascii="Calibri" w:hAnsi="Calibri"/>
                <w:color w:val="565656"/>
                <w:sz w:val="18"/>
              </w:rPr>
              <w:t>Overtime allowance</w:t>
            </w:r>
          </w:p>
        </w:tc>
        <w:tc>
          <w:tcPr>
            <w:tcW w:type="dxa" w:w="2880"/>
          </w:tcPr>
          <w:p>
            <w:pPr>
              <w:spacing w:after="40"/>
            </w:pPr>
            <w:r/>
            <w:r>
              <w:rPr>
                <w:rFonts w:ascii="Calibri" w:hAnsi="Calibri"/>
                <w:color w:val="565656"/>
                <w:sz w:val="18"/>
              </w:rPr>
              <w:t>₹0</w:t>
            </w:r>
          </w:p>
        </w:tc>
        <w:tc>
          <w:tcPr>
            <w:tcW w:type="dxa" w:w="2880"/>
          </w:tcPr>
          <w:p>
            <w:pPr>
              <w:spacing w:after="40"/>
            </w:pPr>
            <w:r/>
            <w:r>
              <w:rPr>
                <w:rFonts w:ascii="Calibri" w:hAnsi="Calibri"/>
                <w:color w:val="565656"/>
                <w:sz w:val="18"/>
              </w:rPr>
              <w:t>₹0</w:t>
            </w:r>
          </w:p>
        </w:tc>
      </w:tr>
      <w:tr>
        <w:tc>
          <w:tcPr>
            <w:tcW w:type="dxa" w:w="3744"/>
          </w:tcPr>
          <w:p>
            <w:pPr>
              <w:spacing w:after="40"/>
            </w:pPr>
            <w:r/>
            <w:r>
              <w:rPr>
                <w:rFonts w:ascii="Calibri" w:hAnsi="Calibri"/>
                <w:color w:val="565656"/>
                <w:sz w:val="18"/>
              </w:rPr>
              <w:t>Total on the equal-pay base</w:t>
            </w:r>
          </w:p>
        </w:tc>
        <w:tc>
          <w:tcPr>
            <w:tcW w:type="dxa" w:w="2880"/>
          </w:tcPr>
          <w:p>
            <w:pPr>
              <w:spacing w:after="40"/>
            </w:pPr>
            <w:r/>
            <w:r>
              <w:rPr>
                <w:rFonts w:ascii="Calibri" w:hAnsi="Calibri"/>
                <w:color w:val="565656"/>
                <w:sz w:val="18"/>
              </w:rPr>
              <w:t>₹24,000</w:t>
            </w:r>
          </w:p>
        </w:tc>
        <w:tc>
          <w:tcPr>
            <w:tcW w:type="dxa" w:w="2880"/>
          </w:tcPr>
          <w:p>
            <w:pPr>
              <w:spacing w:after="40"/>
            </w:pPr>
            <w:r/>
            <w:r>
              <w:rPr>
                <w:rFonts w:ascii="Calibri" w:hAnsi="Calibri"/>
                <w:color w:val="565656"/>
                <w:sz w:val="18"/>
              </w:rPr>
              <w:t>₹27,600</w:t>
            </w:r>
          </w:p>
        </w:tc>
      </w:tr>
    </w:tbl>
    <w:p>
      <w:pPr>
        <w:keepNext w:val="0"/>
        <w:spacing w:after="80" w:before="0"/>
      </w:pPr>
      <w:r>
        <w:rPr>
          <w:rFonts w:ascii="Calibri" w:hAnsi="Calibri"/>
          <w:b w:val="0"/>
          <w:i w:val="0"/>
          <w:color w:val="1D1D1D"/>
          <w:sz w:val="21"/>
        </w:rPr>
      </w:r>
    </w:p>
    <w:p>
      <w:pPr>
        <w:keepNext w:val="0"/>
        <w:spacing w:after="120" w:before="0"/>
      </w:pPr>
      <w:r>
        <w:rPr>
          <w:rFonts w:ascii="Calibri" w:hAnsi="Calibri"/>
          <w:b w:val="0"/>
          <w:i w:val="0"/>
          <w:color w:val="1D1D1D"/>
          <w:sz w:val="20"/>
        </w:rPr>
        <w:t>Basic pay is equal, so a basic-pay check finds nothing. The gap is ₹2,000 in house rent allowance and ₹1,600 in conveyance. On the equal-pay base, Employee A is paid ₹3,600 a month less. The fix is to raise Employee A by ₹3,600, not to cut Employee B.</w:t>
      </w:r>
    </w:p>
    <w:p>
      <w:pPr>
        <w:keepNext w:val="0"/>
        <w:spacing w:after="200" w:before="0"/>
      </w:pPr>
      <w:r>
        <w:rPr>
          <w:rFonts w:ascii="Calibri" w:hAnsi="Calibri"/>
          <w:b w:val="0"/>
          <w:i w:val="0"/>
          <w:color w:val="1D1D1D"/>
          <w:sz w:val="20"/>
        </w:rPr>
        <w:t>Arrears. If the gap began 18 months ago, the arrears are ₹3,600 x 18 = ₹64,800, paid with the next wages on Format 03.</w:t>
      </w:r>
    </w:p>
    <w:p>
      <w:pPr>
        <w:pStyle w:val="Heading2"/>
        <w:keepNext/>
        <w:spacing w:after="60" w:before="160"/>
      </w:pPr>
      <w:r>
        <w:rPr>
          <w:rFonts w:ascii="Calibri" w:hAnsi="Calibri"/>
          <w:b/>
          <w:color w:val="1D1D1D"/>
          <w:sz w:val="21"/>
        </w:rPr>
        <w:t>Running it across your staff</w:t>
      </w:r>
    </w:p>
    <w:p>
      <w:pPr>
        <w:keepNext w:val="0"/>
        <w:spacing w:after="60" w:before="0"/>
        <w:ind w:left="360"/>
      </w:pPr>
      <w:r>
        <w:rPr>
          <w:rFonts w:ascii="Calibri" w:hAnsi="Calibri"/>
          <w:b w:val="0"/>
          <w:i w:val="0"/>
          <w:color w:val="1D1D1D"/>
          <w:sz w:val="20"/>
        </w:rPr>
        <w:t>•  List every role held by people of more than one gender. Each is a pair to check.</w:t>
      </w:r>
    </w:p>
    <w:p>
      <w:pPr>
        <w:keepNext w:val="0"/>
        <w:spacing w:after="60" w:before="0"/>
        <w:ind w:left="360"/>
      </w:pPr>
      <w:r>
        <w:rPr>
          <w:rFonts w:ascii="Calibri" w:hAnsi="Calibri"/>
          <w:b w:val="0"/>
          <w:i w:val="0"/>
          <w:color w:val="1D1D1D"/>
          <w:sz w:val="20"/>
        </w:rPr>
        <w:t>•  Add roles with different titles that may still be similar work, such as a store keeper and a stores assistant.</w:t>
      </w:r>
    </w:p>
    <w:p>
      <w:pPr>
        <w:keepNext w:val="0"/>
        <w:spacing w:after="60" w:before="0"/>
        <w:ind w:left="360"/>
      </w:pPr>
      <w:r>
        <w:rPr>
          <w:rFonts w:ascii="Calibri" w:hAnsi="Calibri"/>
          <w:b w:val="0"/>
          <w:i w:val="0"/>
          <w:color w:val="1D1D1D"/>
          <w:sz w:val="20"/>
        </w:rPr>
        <w:t>•  Fill Format 01 once per pair of roles, then Format 02 once per pair of employees in those roles.</w:t>
      </w:r>
    </w:p>
    <w:p>
      <w:pPr>
        <w:keepNext w:val="0"/>
        <w:spacing w:after="60" w:before="0"/>
        <w:ind w:left="360"/>
      </w:pPr>
      <w:r>
        <w:rPr>
          <w:rFonts w:ascii="Calibri" w:hAnsi="Calibri"/>
          <w:b w:val="0"/>
          <w:i w:val="0"/>
          <w:color w:val="1D1D1D"/>
          <w:sz w:val="20"/>
        </w:rPr>
        <w:t>•  Start with the largest groups, and keep every Format 01 and 02 on file, gap or no gap.</w:t>
      </w:r>
    </w:p>
    <w:p>
      <w:r>
        <w:br w:type="page"/>
      </w:r>
    </w:p>
    <w:p>
      <w:pPr>
        <w:pStyle w:val="Heading1"/>
        <w:keepNext/>
        <w:spacing w:after="200" w:before="80"/>
        <w:ind w:left="115"/>
        <w:shd w:val="clear" w:fill="008CDB"/>
      </w:pPr>
      <w:r>
        <w:rPr>
          <w:rFonts w:ascii="Calibri" w:hAnsi="Calibri"/>
          <w:b/>
          <w:color w:val="FFFFFF"/>
          <w:sz w:val="22"/>
        </w:rPr>
        <w:t>4.  SIX FORMATS</w:t>
      </w:r>
    </w:p>
    <w:p>
      <w:pPr>
        <w:keepNext w:val="0"/>
        <w:spacing w:after="160" w:before="0"/>
      </w:pPr>
      <w:r>
        <w:rPr>
          <w:rFonts w:ascii="Calibri" w:hAnsi="Calibri"/>
          <w:b w:val="0"/>
          <w:i w:val="0"/>
          <w:color w:val="565656"/>
          <w:sz w:val="20"/>
        </w:rPr>
        <w:t>Everything in [CAPITALS] is yours to fill or delete. Where a bracket offers choices split by '/', keep one.</w:t>
      </w:r>
    </w:p>
    <w:p>
      <w:pPr>
        <w:pStyle w:val="Heading1"/>
        <w:keepNext/>
        <w:spacing w:after="200" w:before="80"/>
        <w:ind w:left="115"/>
        <w:shd w:val="clear" w:fill="0069A4"/>
      </w:pPr>
      <w:r>
        <w:rPr>
          <w:rFonts w:ascii="Calibri" w:hAnsi="Calibri"/>
          <w:b/>
          <w:color w:val="FFFFFF"/>
          <w:sz w:val="20"/>
        </w:rPr>
        <w:t>FORMAT 01  ·  SAME-WORK COMPARISON</w:t>
      </w:r>
    </w:p>
    <w:p>
      <w:pPr>
        <w:keepNext w:val="0"/>
        <w:spacing w:after="120" w:before="0"/>
        <w:ind w:left="144"/>
        <w:shd w:val="clear" w:fill="F4FAFE"/>
      </w:pPr>
      <w:r>
        <w:rPr>
          <w:rFonts w:ascii="Calibri" w:hAnsi="Calibri"/>
          <w:b w:val="0"/>
          <w:i/>
          <w:color w:val="565656"/>
          <w:sz w:val="18"/>
        </w:rPr>
        <w:t>Note for HR, delete before sending: For HR, one per pair of roles. Decides whether two jobs are the same or similar work.</w:t>
      </w:r>
    </w:p>
    <w:p>
      <w:pPr>
        <w:keepNext w:val="0"/>
        <w:spacing w:after="120" w:before="0"/>
        <w:ind w:left="144"/>
      </w:pPr>
      <w:r>
        <w:rPr>
          <w:rFonts w:ascii="Calibri" w:hAnsi="Calibri"/>
          <w:b w:val="0"/>
          <w:i/>
          <w:color w:val="565656"/>
          <w:sz w:val="16"/>
        </w:rPr>
        <w:t>The form starts below.</w:t>
      </w:r>
    </w:p>
    <w:p>
      <w:pPr>
        <w:keepNext w:val="0"/>
        <w:spacing w:after="100" w:before="0"/>
      </w:pPr>
      <w:r>
        <w:rPr>
          <w:rFonts w:ascii="Calibri" w:hAnsi="Calibri"/>
          <w:b w:val="0"/>
          <w:i w:val="0"/>
          <w:color w:val="1D1D1D"/>
          <w:sz w:val="20"/>
        </w:rPr>
        <w:t>Role A: [TITLE], held by [NAMES]. Role B: [TITLE], held by [NAMES].</w:t>
      </w:r>
    </w:p>
    <w:tbl>
      <w:tblPr>
        <w:tblStyle w:val="TableGrid"/>
        <w:tblW w:type="auto" w:w="0"/>
        <w:tblLook w:firstColumn="1" w:firstRow="1" w:lastColumn="0" w:lastRow="0" w:noHBand="0" w:noVBand="1" w:val="04A0"/>
      </w:tblPr>
      <w:tblGrid>
        <w:gridCol w:w="4824"/>
        <w:gridCol w:w="4824"/>
      </w:tblGrid>
      <w:tr>
        <w:tc>
          <w:tcPr>
            <w:tcW w:type="dxa" w:w="4032"/>
          </w:tcPr>
          <w:p>
            <w:pPr>
              <w:spacing w:after="40"/>
              <w:shd w:val="clear" w:fill="E8F4FC"/>
            </w:pPr>
            <w:r/>
            <w:r>
              <w:rPr>
                <w:rFonts w:ascii="Calibri" w:hAnsi="Calibri"/>
                <w:b/>
                <w:color w:val="0069A4"/>
                <w:sz w:val="19"/>
              </w:rPr>
              <w:t>Factor</w:t>
            </w:r>
          </w:p>
        </w:tc>
        <w:tc>
          <w:tcPr>
            <w:tcW w:type="dxa" w:w="5328"/>
          </w:tcPr>
          <w:p>
            <w:pPr>
              <w:spacing w:after="40"/>
              <w:shd w:val="clear" w:fill="E8F4FC"/>
            </w:pPr>
            <w:r/>
            <w:r>
              <w:rPr>
                <w:rFonts w:ascii="Calibri" w:hAnsi="Calibri"/>
                <w:b/>
                <w:color w:val="0069A4"/>
                <w:sz w:val="19"/>
              </w:rPr>
              <w:t>Assessment</w:t>
            </w:r>
          </w:p>
        </w:tc>
      </w:tr>
      <w:tr>
        <w:tc>
          <w:tcPr>
            <w:tcW w:type="dxa" w:w="4032"/>
          </w:tcPr>
          <w:p>
            <w:pPr>
              <w:spacing w:after="40"/>
            </w:pPr>
            <w:r/>
            <w:r>
              <w:rPr>
                <w:rFonts w:ascii="Calibri" w:hAnsi="Calibri"/>
                <w:color w:val="565656"/>
                <w:sz w:val="19"/>
              </w:rPr>
              <w:t>Skill required</w:t>
            </w:r>
          </w:p>
        </w:tc>
        <w:tc>
          <w:tcPr>
            <w:tcW w:type="dxa" w:w="5328"/>
          </w:tcPr>
          <w:p>
            <w:pPr>
              <w:spacing w:after="40"/>
            </w:pPr>
            <w:r/>
            <w:r>
              <w:rPr>
                <w:rFonts w:ascii="Calibri" w:hAnsi="Calibri"/>
                <w:color w:val="565656"/>
                <w:sz w:val="19"/>
              </w:rPr>
              <w:t>[SAME / DIFFERENT: HOW]</w:t>
            </w:r>
          </w:p>
        </w:tc>
      </w:tr>
      <w:tr>
        <w:tc>
          <w:tcPr>
            <w:tcW w:type="dxa" w:w="4032"/>
          </w:tcPr>
          <w:p>
            <w:pPr>
              <w:spacing w:after="40"/>
            </w:pPr>
            <w:r/>
            <w:r>
              <w:rPr>
                <w:rFonts w:ascii="Calibri" w:hAnsi="Calibri"/>
                <w:color w:val="565656"/>
                <w:sz w:val="19"/>
              </w:rPr>
              <w:t>Effort required</w:t>
            </w:r>
          </w:p>
        </w:tc>
        <w:tc>
          <w:tcPr>
            <w:tcW w:type="dxa" w:w="5328"/>
          </w:tcPr>
          <w:p>
            <w:pPr>
              <w:spacing w:after="40"/>
            </w:pPr>
            <w:r/>
            <w:r>
              <w:rPr>
                <w:rFonts w:ascii="Calibri" w:hAnsi="Calibri"/>
                <w:color w:val="565656"/>
                <w:sz w:val="19"/>
              </w:rPr>
              <w:t>[SAME / DIFFERENT: HOW]</w:t>
            </w:r>
          </w:p>
        </w:tc>
      </w:tr>
      <w:tr>
        <w:tc>
          <w:tcPr>
            <w:tcW w:type="dxa" w:w="4032"/>
          </w:tcPr>
          <w:p>
            <w:pPr>
              <w:spacing w:after="40"/>
            </w:pPr>
            <w:r/>
            <w:r>
              <w:rPr>
                <w:rFonts w:ascii="Calibri" w:hAnsi="Calibri"/>
                <w:color w:val="565656"/>
                <w:sz w:val="19"/>
              </w:rPr>
              <w:t>Experience required</w:t>
            </w:r>
          </w:p>
        </w:tc>
        <w:tc>
          <w:tcPr>
            <w:tcW w:type="dxa" w:w="5328"/>
          </w:tcPr>
          <w:p>
            <w:pPr>
              <w:spacing w:after="40"/>
            </w:pPr>
            <w:r/>
            <w:r>
              <w:rPr>
                <w:rFonts w:ascii="Calibri" w:hAnsi="Calibri"/>
                <w:color w:val="565656"/>
                <w:sz w:val="19"/>
              </w:rPr>
              <w:t>[SAME / DIFFERENT: HOW]</w:t>
            </w:r>
          </w:p>
        </w:tc>
      </w:tr>
      <w:tr>
        <w:tc>
          <w:tcPr>
            <w:tcW w:type="dxa" w:w="4032"/>
          </w:tcPr>
          <w:p>
            <w:pPr>
              <w:spacing w:after="40"/>
            </w:pPr>
            <w:r/>
            <w:r>
              <w:rPr>
                <w:rFonts w:ascii="Calibri" w:hAnsi="Calibri"/>
                <w:color w:val="565656"/>
                <w:sz w:val="19"/>
              </w:rPr>
              <w:t>Responsibility</w:t>
            </w:r>
          </w:p>
        </w:tc>
        <w:tc>
          <w:tcPr>
            <w:tcW w:type="dxa" w:w="5328"/>
          </w:tcPr>
          <w:p>
            <w:pPr>
              <w:spacing w:after="40"/>
            </w:pPr>
            <w:r/>
            <w:r>
              <w:rPr>
                <w:rFonts w:ascii="Calibri" w:hAnsi="Calibri"/>
                <w:color w:val="565656"/>
                <w:sz w:val="19"/>
              </w:rPr>
              <w:t>[SAME / DIFFERENT: HOW]</w:t>
            </w:r>
          </w:p>
        </w:tc>
      </w:tr>
      <w:tr>
        <w:tc>
          <w:tcPr>
            <w:tcW w:type="dxa" w:w="4032"/>
          </w:tcPr>
          <w:p>
            <w:pPr>
              <w:spacing w:after="40"/>
            </w:pPr>
            <w:r/>
            <w:r>
              <w:rPr>
                <w:rFonts w:ascii="Calibri" w:hAnsi="Calibri"/>
                <w:color w:val="565656"/>
                <w:sz w:val="19"/>
              </w:rPr>
              <w:t>Working conditions</w:t>
            </w:r>
          </w:p>
        </w:tc>
        <w:tc>
          <w:tcPr>
            <w:tcW w:type="dxa" w:w="5328"/>
          </w:tcPr>
          <w:p>
            <w:pPr>
              <w:spacing w:after="40"/>
            </w:pPr>
            <w:r/>
            <w:r>
              <w:rPr>
                <w:rFonts w:ascii="Calibri" w:hAnsi="Calibri"/>
                <w:color w:val="565656"/>
                <w:sz w:val="19"/>
              </w:rPr>
              <w:t>[SIMILAR / DIFFERENT: HOW]</w:t>
            </w:r>
          </w:p>
        </w:tc>
      </w:tr>
      <w:tr>
        <w:tc>
          <w:tcPr>
            <w:tcW w:type="dxa" w:w="4032"/>
          </w:tcPr>
          <w:p>
            <w:pPr>
              <w:spacing w:after="40"/>
            </w:pPr>
            <w:r/>
            <w:r>
              <w:rPr>
                <w:rFonts w:ascii="Calibri" w:hAnsi="Calibri"/>
                <w:color w:val="565656"/>
                <w:sz w:val="19"/>
              </w:rPr>
              <w:t>Is any difference of practical importance?</w:t>
            </w:r>
          </w:p>
        </w:tc>
        <w:tc>
          <w:tcPr>
            <w:tcW w:type="dxa" w:w="5328"/>
          </w:tcPr>
          <w:p>
            <w:pPr>
              <w:spacing w:after="40"/>
            </w:pPr>
            <w:r/>
            <w:r>
              <w:rPr>
                <w:rFonts w:ascii="Calibri" w:hAnsi="Calibri"/>
                <w:color w:val="565656"/>
                <w:sz w:val="19"/>
              </w:rPr>
              <w:t>[YES: WHY / NO]</w:t>
            </w:r>
          </w:p>
        </w:tc>
      </w:tr>
    </w:tbl>
    <w:p>
      <w:pPr>
        <w:keepNext w:val="0"/>
        <w:spacing w:after="80" w:before="0"/>
      </w:pPr>
      <w:r>
        <w:rPr>
          <w:rFonts w:ascii="Calibri" w:hAnsi="Calibri"/>
          <w:b w:val="0"/>
          <w:i w:val="0"/>
          <w:color w:val="1D1D1D"/>
          <w:sz w:val="21"/>
        </w:rPr>
      </w:r>
    </w:p>
    <w:p>
      <w:pPr>
        <w:keepNext w:val="0"/>
        <w:spacing w:after="100" w:before="0"/>
      </w:pPr>
      <w:r>
        <w:rPr>
          <w:rFonts w:ascii="Calibri" w:hAnsi="Calibri"/>
          <w:b w:val="0"/>
          <w:i w:val="0"/>
          <w:color w:val="1D1D1D"/>
          <w:sz w:val="20"/>
        </w:rPr>
        <w:t>Result: same or similar work if every row is 'Same' or 'Different, but not of practical importance'. The job titles do not decide it. Then compare pay on Format 02.</w:t>
      </w:r>
    </w:p>
    <w:p>
      <w:pPr>
        <w:keepNext w:val="0"/>
        <w:spacing w:after="100" w:before="0"/>
      </w:pPr>
      <w:r>
        <w:rPr>
          <w:rFonts w:ascii="Calibri" w:hAnsi="Calibri"/>
          <w:b w:val="0"/>
          <w:i w:val="0"/>
          <w:color w:val="1D1D1D"/>
          <w:sz w:val="20"/>
        </w:rPr>
        <w:t>Assessed by: [NAME]     Date: [DD-MMM-YYYY]</w:t>
      </w:r>
    </w:p>
    <w:p>
      <w:r>
        <w:br w:type="page"/>
      </w:r>
    </w:p>
    <w:p>
      <w:pPr>
        <w:pStyle w:val="Heading1"/>
        <w:keepNext/>
        <w:spacing w:after="200" w:before="80"/>
        <w:ind w:left="115"/>
        <w:shd w:val="clear" w:fill="0069A4"/>
      </w:pPr>
      <w:r>
        <w:rPr>
          <w:rFonts w:ascii="Calibri" w:hAnsi="Calibri"/>
          <w:b/>
          <w:color w:val="FFFFFF"/>
          <w:sz w:val="20"/>
        </w:rPr>
        <w:t>FORMAT 02  ·  PAY COMPARISON WORKSHEET</w:t>
      </w:r>
    </w:p>
    <w:p>
      <w:pPr>
        <w:keepNext w:val="0"/>
        <w:spacing w:after="120" w:before="0"/>
        <w:ind w:left="144"/>
        <w:shd w:val="clear" w:fill="F4FAFE"/>
      </w:pPr>
      <w:r>
        <w:rPr>
          <w:rFonts w:ascii="Calibri" w:hAnsi="Calibri"/>
          <w:b w:val="0"/>
          <w:i/>
          <w:color w:val="565656"/>
          <w:sz w:val="18"/>
        </w:rPr>
        <w:t>Note for HR, delete before sending: For HR and payroll. Compares pay on the wider equal-pay base, component by component.</w:t>
      </w:r>
    </w:p>
    <w:p>
      <w:pPr>
        <w:keepNext w:val="0"/>
        <w:spacing w:after="120" w:before="0"/>
        <w:ind w:left="144"/>
      </w:pPr>
      <w:r>
        <w:rPr>
          <w:rFonts w:ascii="Calibri" w:hAnsi="Calibri"/>
          <w:b w:val="0"/>
          <w:i/>
          <w:color w:val="565656"/>
          <w:sz w:val="16"/>
        </w:rPr>
        <w:t>The worksheet starts below.</w:t>
      </w:r>
    </w:p>
    <w:tbl>
      <w:tblPr>
        <w:tblStyle w:val="TableGrid"/>
        <w:tblW w:type="auto" w:w="0"/>
        <w:tblLook w:firstColumn="1" w:firstRow="1" w:lastColumn="0" w:lastRow="0" w:noHBand="0" w:noVBand="1" w:val="04A0"/>
      </w:tblPr>
      <w:tblGrid>
        <w:gridCol w:w="2412"/>
        <w:gridCol w:w="2412"/>
        <w:gridCol w:w="2412"/>
        <w:gridCol w:w="2412"/>
      </w:tblGrid>
      <w:tr>
        <w:tc>
          <w:tcPr>
            <w:tcW w:type="dxa" w:w="3456"/>
          </w:tcPr>
          <w:p>
            <w:pPr>
              <w:spacing w:after="40"/>
              <w:shd w:val="clear" w:fill="E8F4FC"/>
            </w:pPr>
            <w:r/>
            <w:r>
              <w:rPr>
                <w:rFonts w:ascii="Calibri" w:hAnsi="Calibri"/>
                <w:b/>
                <w:color w:val="0069A4"/>
                <w:sz w:val="18"/>
              </w:rPr>
              <w:t>Component</w:t>
            </w:r>
          </w:p>
        </w:tc>
        <w:tc>
          <w:tcPr>
            <w:tcW w:type="dxa" w:w="2016"/>
          </w:tcPr>
          <w:p>
            <w:pPr>
              <w:spacing w:after="40"/>
              <w:shd w:val="clear" w:fill="E8F4FC"/>
            </w:pPr>
            <w:r/>
            <w:r>
              <w:rPr>
                <w:rFonts w:ascii="Calibri" w:hAnsi="Calibri"/>
                <w:b/>
                <w:color w:val="0069A4"/>
                <w:sz w:val="18"/>
              </w:rPr>
              <w:t>Employee A: [NAME, ROLE]</w:t>
            </w:r>
          </w:p>
        </w:tc>
        <w:tc>
          <w:tcPr>
            <w:tcW w:type="dxa" w:w="2016"/>
          </w:tcPr>
          <w:p>
            <w:pPr>
              <w:spacing w:after="40"/>
              <w:shd w:val="clear" w:fill="E8F4FC"/>
            </w:pPr>
            <w:r/>
            <w:r>
              <w:rPr>
                <w:rFonts w:ascii="Calibri" w:hAnsi="Calibri"/>
                <w:b/>
                <w:color w:val="0069A4"/>
                <w:sz w:val="18"/>
              </w:rPr>
              <w:t>Employee B: [NAME, ROLE]</w:t>
            </w:r>
          </w:p>
        </w:tc>
        <w:tc>
          <w:tcPr>
            <w:tcW w:type="dxa" w:w="1872"/>
          </w:tcPr>
          <w:p>
            <w:pPr>
              <w:spacing w:after="40"/>
              <w:shd w:val="clear" w:fill="E8F4FC"/>
            </w:pPr>
            <w:r/>
            <w:r>
              <w:rPr>
                <w:rFonts w:ascii="Calibri" w:hAnsi="Calibri"/>
                <w:b/>
                <w:color w:val="0069A4"/>
                <w:sz w:val="18"/>
              </w:rPr>
              <w:t>Difference</w:t>
            </w:r>
          </w:p>
        </w:tc>
      </w:tr>
      <w:tr>
        <w:tc>
          <w:tcPr>
            <w:tcW w:type="dxa" w:w="3456"/>
          </w:tcPr>
          <w:p>
            <w:pPr>
              <w:spacing w:after="40"/>
            </w:pPr>
            <w:r/>
            <w:r>
              <w:rPr>
                <w:rFonts w:ascii="Calibri" w:hAnsi="Calibri"/>
                <w:color w:val="565656"/>
                <w:sz w:val="18"/>
              </w:rPr>
              <w:t>Basic pay and DA</w:t>
            </w:r>
          </w:p>
        </w:tc>
        <w:tc>
          <w:tcPr>
            <w:tcW w:type="dxa" w:w="2016"/>
          </w:tcPr>
          <w:p>
            <w:pPr>
              <w:spacing w:after="40"/>
            </w:pPr>
            <w:r/>
            <w:r>
              <w:rPr>
                <w:rFonts w:ascii="Calibri" w:hAnsi="Calibri"/>
                <w:color w:val="565656"/>
                <w:sz w:val="18"/>
              </w:rPr>
              <w:t>₹</w:t>
            </w:r>
          </w:p>
        </w:tc>
        <w:tc>
          <w:tcPr>
            <w:tcW w:type="dxa" w:w="2016"/>
          </w:tcPr>
          <w:p>
            <w:pPr>
              <w:spacing w:after="40"/>
            </w:pPr>
            <w:r/>
            <w:r>
              <w:rPr>
                <w:rFonts w:ascii="Calibri" w:hAnsi="Calibri"/>
                <w:color w:val="565656"/>
                <w:sz w:val="18"/>
              </w:rPr>
              <w:t>₹</w:t>
            </w:r>
          </w:p>
        </w:tc>
        <w:tc>
          <w:tcPr>
            <w:tcW w:type="dxa" w:w="1872"/>
          </w:tcPr>
          <w:p>
            <w:pPr>
              <w:spacing w:after="40"/>
            </w:pPr>
            <w:r/>
            <w:r>
              <w:rPr>
                <w:rFonts w:ascii="Calibri" w:hAnsi="Calibri"/>
                <w:color w:val="565656"/>
                <w:sz w:val="18"/>
              </w:rPr>
              <w:t>₹</w:t>
            </w:r>
          </w:p>
        </w:tc>
      </w:tr>
      <w:tr>
        <w:tc>
          <w:tcPr>
            <w:tcW w:type="dxa" w:w="3456"/>
          </w:tcPr>
          <w:p>
            <w:pPr>
              <w:spacing w:after="40"/>
            </w:pPr>
            <w:r/>
            <w:r>
              <w:rPr>
                <w:rFonts w:ascii="Calibri" w:hAnsi="Calibri"/>
                <w:color w:val="565656"/>
                <w:sz w:val="18"/>
              </w:rPr>
              <w:t>House rent allowance</w:t>
            </w:r>
          </w:p>
        </w:tc>
        <w:tc>
          <w:tcPr>
            <w:tcW w:type="dxa" w:w="2016"/>
          </w:tcPr>
          <w:p>
            <w:pPr>
              <w:spacing w:after="40"/>
            </w:pPr>
            <w:r/>
            <w:r>
              <w:rPr>
                <w:rFonts w:ascii="Calibri" w:hAnsi="Calibri"/>
                <w:color w:val="565656"/>
                <w:sz w:val="18"/>
              </w:rPr>
              <w:t>₹</w:t>
            </w:r>
          </w:p>
        </w:tc>
        <w:tc>
          <w:tcPr>
            <w:tcW w:type="dxa" w:w="2016"/>
          </w:tcPr>
          <w:p>
            <w:pPr>
              <w:spacing w:after="40"/>
            </w:pPr>
            <w:r/>
            <w:r>
              <w:rPr>
                <w:rFonts w:ascii="Calibri" w:hAnsi="Calibri"/>
                <w:color w:val="565656"/>
                <w:sz w:val="18"/>
              </w:rPr>
              <w:t>₹</w:t>
            </w:r>
          </w:p>
        </w:tc>
        <w:tc>
          <w:tcPr>
            <w:tcW w:type="dxa" w:w="1872"/>
          </w:tcPr>
          <w:p>
            <w:pPr>
              <w:spacing w:after="40"/>
            </w:pPr>
            <w:r/>
            <w:r>
              <w:rPr>
                <w:rFonts w:ascii="Calibri" w:hAnsi="Calibri"/>
                <w:color w:val="565656"/>
                <w:sz w:val="18"/>
              </w:rPr>
              <w:t>₹</w:t>
            </w:r>
          </w:p>
        </w:tc>
      </w:tr>
      <w:tr>
        <w:tc>
          <w:tcPr>
            <w:tcW w:type="dxa" w:w="3456"/>
          </w:tcPr>
          <w:p>
            <w:pPr>
              <w:spacing w:after="40"/>
            </w:pPr>
            <w:r/>
            <w:r>
              <w:rPr>
                <w:rFonts w:ascii="Calibri" w:hAnsi="Calibri"/>
                <w:color w:val="565656"/>
                <w:sz w:val="18"/>
              </w:rPr>
              <w:t>Conveyance allowance</w:t>
            </w:r>
          </w:p>
        </w:tc>
        <w:tc>
          <w:tcPr>
            <w:tcW w:type="dxa" w:w="2016"/>
          </w:tcPr>
          <w:p>
            <w:pPr>
              <w:spacing w:after="40"/>
            </w:pPr>
            <w:r/>
            <w:r>
              <w:rPr>
                <w:rFonts w:ascii="Calibri" w:hAnsi="Calibri"/>
                <w:color w:val="565656"/>
                <w:sz w:val="18"/>
              </w:rPr>
              <w:t>₹</w:t>
            </w:r>
          </w:p>
        </w:tc>
        <w:tc>
          <w:tcPr>
            <w:tcW w:type="dxa" w:w="2016"/>
          </w:tcPr>
          <w:p>
            <w:pPr>
              <w:spacing w:after="40"/>
            </w:pPr>
            <w:r/>
            <w:r>
              <w:rPr>
                <w:rFonts w:ascii="Calibri" w:hAnsi="Calibri"/>
                <w:color w:val="565656"/>
                <w:sz w:val="18"/>
              </w:rPr>
              <w:t>₹</w:t>
            </w:r>
          </w:p>
        </w:tc>
        <w:tc>
          <w:tcPr>
            <w:tcW w:type="dxa" w:w="1872"/>
          </w:tcPr>
          <w:p>
            <w:pPr>
              <w:spacing w:after="40"/>
            </w:pPr>
            <w:r/>
            <w:r>
              <w:rPr>
                <w:rFonts w:ascii="Calibri" w:hAnsi="Calibri"/>
                <w:color w:val="565656"/>
                <w:sz w:val="18"/>
              </w:rPr>
              <w:t>₹</w:t>
            </w:r>
          </w:p>
        </w:tc>
      </w:tr>
      <w:tr>
        <w:tc>
          <w:tcPr>
            <w:tcW w:type="dxa" w:w="3456"/>
          </w:tcPr>
          <w:p>
            <w:pPr>
              <w:spacing w:after="40"/>
            </w:pPr>
            <w:r/>
            <w:r>
              <w:rPr>
                <w:rFonts w:ascii="Calibri" w:hAnsi="Calibri"/>
                <w:color w:val="565656"/>
                <w:sz w:val="18"/>
              </w:rPr>
              <w:t>Overtime allowance</w:t>
            </w:r>
          </w:p>
        </w:tc>
        <w:tc>
          <w:tcPr>
            <w:tcW w:type="dxa" w:w="2016"/>
          </w:tcPr>
          <w:p>
            <w:pPr>
              <w:spacing w:after="40"/>
            </w:pPr>
            <w:r/>
            <w:r>
              <w:rPr>
                <w:rFonts w:ascii="Calibri" w:hAnsi="Calibri"/>
                <w:color w:val="565656"/>
                <w:sz w:val="18"/>
              </w:rPr>
              <w:t>₹</w:t>
            </w:r>
          </w:p>
        </w:tc>
        <w:tc>
          <w:tcPr>
            <w:tcW w:type="dxa" w:w="2016"/>
          </w:tcPr>
          <w:p>
            <w:pPr>
              <w:spacing w:after="40"/>
            </w:pPr>
            <w:r/>
            <w:r>
              <w:rPr>
                <w:rFonts w:ascii="Calibri" w:hAnsi="Calibri"/>
                <w:color w:val="565656"/>
                <w:sz w:val="18"/>
              </w:rPr>
              <w:t>₹</w:t>
            </w:r>
          </w:p>
        </w:tc>
        <w:tc>
          <w:tcPr>
            <w:tcW w:type="dxa" w:w="1872"/>
          </w:tcPr>
          <w:p>
            <w:pPr>
              <w:spacing w:after="40"/>
            </w:pPr>
            <w:r/>
            <w:r>
              <w:rPr>
                <w:rFonts w:ascii="Calibri" w:hAnsi="Calibri"/>
                <w:color w:val="565656"/>
                <w:sz w:val="18"/>
              </w:rPr>
              <w:t>₹</w:t>
            </w:r>
          </w:p>
        </w:tc>
      </w:tr>
      <w:tr>
        <w:tc>
          <w:tcPr>
            <w:tcW w:type="dxa" w:w="3456"/>
          </w:tcPr>
          <w:p>
            <w:pPr>
              <w:spacing w:after="40"/>
            </w:pPr>
            <w:r/>
            <w:r>
              <w:rPr>
                <w:rFonts w:ascii="Calibri" w:hAnsi="Calibri"/>
                <w:color w:val="565656"/>
                <w:sz w:val="18"/>
              </w:rPr>
              <w:t>Award or settlement pay</w:t>
            </w:r>
          </w:p>
        </w:tc>
        <w:tc>
          <w:tcPr>
            <w:tcW w:type="dxa" w:w="2016"/>
          </w:tcPr>
          <w:p>
            <w:pPr>
              <w:spacing w:after="40"/>
            </w:pPr>
            <w:r/>
            <w:r>
              <w:rPr>
                <w:rFonts w:ascii="Calibri" w:hAnsi="Calibri"/>
                <w:color w:val="565656"/>
                <w:sz w:val="18"/>
              </w:rPr>
              <w:t>₹</w:t>
            </w:r>
          </w:p>
        </w:tc>
        <w:tc>
          <w:tcPr>
            <w:tcW w:type="dxa" w:w="2016"/>
          </w:tcPr>
          <w:p>
            <w:pPr>
              <w:spacing w:after="40"/>
            </w:pPr>
            <w:r/>
            <w:r>
              <w:rPr>
                <w:rFonts w:ascii="Calibri" w:hAnsi="Calibri"/>
                <w:color w:val="565656"/>
                <w:sz w:val="18"/>
              </w:rPr>
              <w:t>₹</w:t>
            </w:r>
          </w:p>
        </w:tc>
        <w:tc>
          <w:tcPr>
            <w:tcW w:type="dxa" w:w="1872"/>
          </w:tcPr>
          <w:p>
            <w:pPr>
              <w:spacing w:after="40"/>
            </w:pPr>
            <w:r/>
            <w:r>
              <w:rPr>
                <w:rFonts w:ascii="Calibri" w:hAnsi="Calibri"/>
                <w:color w:val="565656"/>
                <w:sz w:val="18"/>
              </w:rPr>
              <w:t>₹</w:t>
            </w:r>
          </w:p>
        </w:tc>
      </w:tr>
      <w:tr>
        <w:tc>
          <w:tcPr>
            <w:tcW w:type="dxa" w:w="3456"/>
          </w:tcPr>
          <w:p>
            <w:pPr>
              <w:spacing w:after="40"/>
            </w:pPr>
            <w:r/>
            <w:r>
              <w:rPr>
                <w:rFonts w:ascii="Calibri" w:hAnsi="Calibri"/>
                <w:color w:val="565656"/>
                <w:sz w:val="18"/>
              </w:rPr>
              <w:t>Commission (we advise including it; see section 6)</w:t>
            </w:r>
          </w:p>
        </w:tc>
        <w:tc>
          <w:tcPr>
            <w:tcW w:type="dxa" w:w="2016"/>
          </w:tcPr>
          <w:p>
            <w:pPr>
              <w:spacing w:after="40"/>
            </w:pPr>
            <w:r/>
            <w:r>
              <w:rPr>
                <w:rFonts w:ascii="Calibri" w:hAnsi="Calibri"/>
                <w:color w:val="565656"/>
                <w:sz w:val="18"/>
              </w:rPr>
              <w:t>₹</w:t>
            </w:r>
          </w:p>
        </w:tc>
        <w:tc>
          <w:tcPr>
            <w:tcW w:type="dxa" w:w="2016"/>
          </w:tcPr>
          <w:p>
            <w:pPr>
              <w:spacing w:after="40"/>
            </w:pPr>
            <w:r/>
            <w:r>
              <w:rPr>
                <w:rFonts w:ascii="Calibri" w:hAnsi="Calibri"/>
                <w:color w:val="565656"/>
                <w:sz w:val="18"/>
              </w:rPr>
              <w:t>₹</w:t>
            </w:r>
          </w:p>
        </w:tc>
        <w:tc>
          <w:tcPr>
            <w:tcW w:type="dxa" w:w="1872"/>
          </w:tcPr>
          <w:p>
            <w:pPr>
              <w:spacing w:after="40"/>
            </w:pPr>
            <w:r/>
            <w:r>
              <w:rPr>
                <w:rFonts w:ascii="Calibri" w:hAnsi="Calibri"/>
                <w:color w:val="565656"/>
                <w:sz w:val="18"/>
              </w:rPr>
              <w:t>₹</w:t>
            </w:r>
          </w:p>
        </w:tc>
      </w:tr>
      <w:tr>
        <w:tc>
          <w:tcPr>
            <w:tcW w:type="dxa" w:w="3456"/>
          </w:tcPr>
          <w:p>
            <w:pPr>
              <w:spacing w:after="40"/>
            </w:pPr>
            <w:r/>
            <w:r>
              <w:rPr>
                <w:rFonts w:ascii="Calibri" w:hAnsi="Calibri"/>
                <w:color w:val="565656"/>
                <w:sz w:val="18"/>
              </w:rPr>
              <w:t>Total on the equal-pay base</w:t>
            </w:r>
          </w:p>
        </w:tc>
        <w:tc>
          <w:tcPr>
            <w:tcW w:type="dxa" w:w="2016"/>
          </w:tcPr>
          <w:p>
            <w:pPr>
              <w:spacing w:after="40"/>
            </w:pPr>
            <w:r/>
            <w:r>
              <w:rPr>
                <w:rFonts w:ascii="Calibri" w:hAnsi="Calibri"/>
                <w:color w:val="565656"/>
                <w:sz w:val="18"/>
              </w:rPr>
              <w:t>₹</w:t>
            </w:r>
          </w:p>
        </w:tc>
        <w:tc>
          <w:tcPr>
            <w:tcW w:type="dxa" w:w="2016"/>
          </w:tcPr>
          <w:p>
            <w:pPr>
              <w:spacing w:after="40"/>
            </w:pPr>
            <w:r/>
            <w:r>
              <w:rPr>
                <w:rFonts w:ascii="Calibri" w:hAnsi="Calibri"/>
                <w:color w:val="565656"/>
                <w:sz w:val="18"/>
              </w:rPr>
              <w:t>₹</w:t>
            </w:r>
          </w:p>
        </w:tc>
        <w:tc>
          <w:tcPr>
            <w:tcW w:type="dxa" w:w="1872"/>
          </w:tcPr>
          <w:p>
            <w:pPr>
              <w:spacing w:after="40"/>
            </w:pPr>
            <w:r/>
            <w:r>
              <w:rPr>
                <w:rFonts w:ascii="Calibri" w:hAnsi="Calibri"/>
                <w:color w:val="565656"/>
                <w:sz w:val="18"/>
              </w:rPr>
              <w:t>₹</w:t>
            </w:r>
          </w:p>
        </w:tc>
      </w:tr>
    </w:tbl>
    <w:p>
      <w:pPr>
        <w:keepNext w:val="0"/>
        <w:spacing w:after="80" w:before="0"/>
      </w:pPr>
      <w:r>
        <w:rPr>
          <w:rFonts w:ascii="Calibri" w:hAnsi="Calibri"/>
          <w:b w:val="0"/>
          <w:i w:val="0"/>
          <w:color w:val="1D1D1D"/>
          <w:sz w:val="21"/>
        </w:rPr>
      </w:r>
    </w:p>
    <w:p>
      <w:pPr>
        <w:keepNext w:val="0"/>
        <w:spacing w:after="120" w:before="0"/>
      </w:pPr>
      <w:r>
        <w:rPr>
          <w:rFonts w:ascii="Calibri" w:hAnsi="Calibri"/>
          <w:b w:val="0"/>
          <w:i w:val="0"/>
          <w:color w:val="1D1D1D"/>
          <w:sz w:val="20"/>
        </w:rPr>
        <w:t>Reason for any difference, other than gender: [FACTOR, AND HOW IT IS APPLIED TO EVERYONE / NONE]</w:t>
      </w:r>
    </w:p>
    <w:p>
      <w:pPr>
        <w:keepNext w:val="0"/>
        <w:spacing w:after="120" w:before="0"/>
      </w:pPr>
      <w:r>
        <w:rPr>
          <w:rFonts w:ascii="Calibri" w:hAnsi="Calibri"/>
          <w:b w:val="0"/>
          <w:i/>
          <w:color w:val="565656"/>
          <w:sz w:val="18"/>
        </w:rPr>
        <w:t>If the total differs, Format 01 says same work, and no factor other than gender explains it, correct it on Format 03.</w:t>
      </w:r>
    </w:p>
    <w:p>
      <w:r>
        <w:br w:type="page"/>
      </w:r>
    </w:p>
    <w:p>
      <w:pPr>
        <w:pStyle w:val="Heading1"/>
        <w:keepNext/>
        <w:spacing w:after="200" w:before="80"/>
        <w:ind w:left="115"/>
        <w:shd w:val="clear" w:fill="0069A4"/>
      </w:pPr>
      <w:r>
        <w:rPr>
          <w:rFonts w:ascii="Calibri" w:hAnsi="Calibri"/>
          <w:b/>
          <w:color w:val="FFFFFF"/>
          <w:sz w:val="20"/>
        </w:rPr>
        <w:t>FORMAT 03  ·  PAY CORRECTION NOTE</w:t>
      </w:r>
    </w:p>
    <w:p>
      <w:pPr>
        <w:keepNext w:val="0"/>
        <w:spacing w:after="120" w:before="0"/>
        <w:ind w:left="144"/>
        <w:shd w:val="clear" w:fill="F4FAFE"/>
      </w:pPr>
      <w:r>
        <w:rPr>
          <w:rFonts w:ascii="Calibri" w:hAnsi="Calibri"/>
          <w:b w:val="0"/>
          <w:i/>
          <w:color w:val="565656"/>
          <w:sz w:val="18"/>
        </w:rPr>
        <w:t>Note for HR, delete before sending: For HR, where a gap is found. Raises the lower pay; never reduces the higher. Pay arrears from when the gap began: each month's shortfall can be claimed within three years under section 45, with compensation, so a correction from today alone leaves the past open. Do not name the colleague compared with.</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To: [EMPLOYEE NAME], [DESIGNATION], Employee Code [CODE]</w:t>
      </w:r>
    </w:p>
    <w:p>
      <w:pPr>
        <w:keepNext w:val="0"/>
        <w:spacing w:after="100" w:before="0"/>
      </w:pPr>
      <w:r>
        <w:rPr>
          <w:rFonts w:ascii="Calibri" w:hAnsi="Calibri"/>
          <w:b w:val="0"/>
          <w:i w:val="0"/>
          <w:color w:val="1D1D1D"/>
          <w:sz w:val="20"/>
        </w:rPr>
        <w:t>Subject: Revision of your pay</w:t>
      </w:r>
    </w:p>
    <w:p>
      <w:pPr>
        <w:keepNext w:val="0"/>
        <w:spacing w:after="100" w:before="0"/>
      </w:pPr>
      <w:r>
        <w:rPr>
          <w:rFonts w:ascii="Calibri" w:hAnsi="Calibri"/>
          <w:b w:val="0"/>
          <w:i w:val="0"/>
          <w:color w:val="1D1D1D"/>
          <w:sz w:val="20"/>
        </w:rPr>
        <w:t>Following a review of pay for [ROLE], your pay is revised from [DD-MMM-YYYY] as below, to match the pay for the same work.</w:t>
      </w:r>
    </w:p>
    <w:tbl>
      <w:tblPr>
        <w:tblStyle w:val="TableGrid"/>
        <w:tblW w:type="auto" w:w="0"/>
        <w:tblLook w:firstColumn="1" w:firstRow="1" w:lastColumn="0" w:lastRow="0" w:noHBand="0" w:noVBand="1" w:val="04A0"/>
      </w:tblPr>
      <w:tblGrid>
        <w:gridCol w:w="4824"/>
        <w:gridCol w:w="4824"/>
      </w:tblGrid>
      <w:tr>
        <w:tc>
          <w:tcPr>
            <w:tcW w:type="dxa" w:w="3744"/>
          </w:tcPr>
          <w:p>
            <w:pPr>
              <w:spacing w:after="40"/>
              <w:shd w:val="clear" w:fill="E8F4FC"/>
            </w:pPr>
            <w:r/>
            <w:r>
              <w:rPr>
                <w:rFonts w:ascii="Calibri" w:hAnsi="Calibri"/>
                <w:b/>
                <w:color w:val="0069A4"/>
                <w:sz w:val="19"/>
              </w:rPr>
              <w:t>Component</w:t>
            </w:r>
          </w:p>
        </w:tc>
        <w:tc>
          <w:tcPr>
            <w:tcW w:type="dxa" w:w="5616"/>
          </w:tcPr>
          <w:p>
            <w:pPr>
              <w:spacing w:after="40"/>
              <w:shd w:val="clear" w:fill="E8F4FC"/>
            </w:pPr>
            <w:r/>
            <w:r>
              <w:rPr>
                <w:rFonts w:ascii="Calibri" w:hAnsi="Calibri"/>
                <w:b/>
                <w:color w:val="0069A4"/>
                <w:sz w:val="19"/>
              </w:rPr>
              <w:t>From and to</w:t>
            </w:r>
          </w:p>
        </w:tc>
      </w:tr>
      <w:tr>
        <w:tc>
          <w:tcPr>
            <w:tcW w:type="dxa" w:w="3744"/>
          </w:tcPr>
          <w:p>
            <w:pPr>
              <w:spacing w:after="40"/>
            </w:pPr>
            <w:r/>
            <w:r>
              <w:rPr>
                <w:rFonts w:ascii="Calibri" w:hAnsi="Calibri"/>
                <w:color w:val="565656"/>
                <w:sz w:val="19"/>
              </w:rPr>
              <w:t>Basic pay and DA</w:t>
            </w:r>
          </w:p>
        </w:tc>
        <w:tc>
          <w:tcPr>
            <w:tcW w:type="dxa" w:w="5616"/>
          </w:tcPr>
          <w:p>
            <w:pPr>
              <w:spacing w:after="40"/>
            </w:pPr>
            <w:r/>
            <w:r>
              <w:rPr>
                <w:rFonts w:ascii="Calibri" w:hAnsi="Calibri"/>
                <w:color w:val="565656"/>
                <w:sz w:val="19"/>
              </w:rPr>
              <w:t>₹[OLD] to ₹[NEW]</w:t>
            </w:r>
          </w:p>
        </w:tc>
      </w:tr>
      <w:tr>
        <w:tc>
          <w:tcPr>
            <w:tcW w:type="dxa" w:w="3744"/>
          </w:tcPr>
          <w:p>
            <w:pPr>
              <w:spacing w:after="40"/>
            </w:pPr>
            <w:r/>
            <w:r>
              <w:rPr>
                <w:rFonts w:ascii="Calibri" w:hAnsi="Calibri"/>
                <w:color w:val="565656"/>
                <w:sz w:val="19"/>
              </w:rPr>
              <w:t>House rent allowance</w:t>
            </w:r>
          </w:p>
        </w:tc>
        <w:tc>
          <w:tcPr>
            <w:tcW w:type="dxa" w:w="5616"/>
          </w:tcPr>
          <w:p>
            <w:pPr>
              <w:spacing w:after="40"/>
            </w:pPr>
            <w:r/>
            <w:r>
              <w:rPr>
                <w:rFonts w:ascii="Calibri" w:hAnsi="Calibri"/>
                <w:color w:val="565656"/>
                <w:sz w:val="19"/>
              </w:rPr>
              <w:t>₹[OLD] to ₹[NEW]</w:t>
            </w:r>
          </w:p>
        </w:tc>
      </w:tr>
      <w:tr>
        <w:tc>
          <w:tcPr>
            <w:tcW w:type="dxa" w:w="3744"/>
          </w:tcPr>
          <w:p>
            <w:pPr>
              <w:spacing w:after="40"/>
            </w:pPr>
            <w:r/>
            <w:r>
              <w:rPr>
                <w:rFonts w:ascii="Calibri" w:hAnsi="Calibri"/>
                <w:color w:val="565656"/>
                <w:sz w:val="19"/>
              </w:rPr>
              <w:t>Conveyance allowance</w:t>
            </w:r>
          </w:p>
        </w:tc>
        <w:tc>
          <w:tcPr>
            <w:tcW w:type="dxa" w:w="5616"/>
          </w:tcPr>
          <w:p>
            <w:pPr>
              <w:spacing w:after="40"/>
            </w:pPr>
            <w:r/>
            <w:r>
              <w:rPr>
                <w:rFonts w:ascii="Calibri" w:hAnsi="Calibri"/>
                <w:color w:val="565656"/>
                <w:sz w:val="19"/>
              </w:rPr>
              <w:t>₹[OLD] to ₹[NEW]</w:t>
            </w:r>
          </w:p>
        </w:tc>
      </w:tr>
      <w:tr>
        <w:tc>
          <w:tcPr>
            <w:tcW w:type="dxa" w:w="3744"/>
          </w:tcPr>
          <w:p>
            <w:pPr>
              <w:spacing w:after="40"/>
            </w:pPr>
            <w:r/>
            <w:r>
              <w:rPr>
                <w:rFonts w:ascii="Calibri" w:hAnsi="Calibri"/>
                <w:color w:val="565656"/>
                <w:sz w:val="19"/>
              </w:rPr>
              <w:t>Other components</w:t>
            </w:r>
          </w:p>
        </w:tc>
        <w:tc>
          <w:tcPr>
            <w:tcW w:type="dxa" w:w="5616"/>
          </w:tcPr>
          <w:p>
            <w:pPr>
              <w:spacing w:after="40"/>
            </w:pPr>
            <w:r/>
            <w:r>
              <w:rPr>
                <w:rFonts w:ascii="Calibri" w:hAnsi="Calibri"/>
                <w:color w:val="565656"/>
                <w:sz w:val="19"/>
              </w:rPr>
              <w:t>[DETAIL]</w:t>
            </w:r>
          </w:p>
        </w:tc>
      </w:tr>
    </w:tbl>
    <w:p>
      <w:pPr>
        <w:keepNext w:val="0"/>
        <w:spacing w:after="80" w:before="0"/>
      </w:pPr>
      <w:r>
        <w:rPr>
          <w:rFonts w:ascii="Calibri" w:hAnsi="Calibri"/>
          <w:b w:val="0"/>
          <w:i w:val="0"/>
          <w:color w:val="1D1D1D"/>
          <w:sz w:val="21"/>
        </w:rPr>
      </w:r>
    </w:p>
    <w:p>
      <w:pPr>
        <w:keepNext w:val="0"/>
        <w:spacing w:after="100" w:before="0"/>
      </w:pPr>
      <w:r>
        <w:rPr>
          <w:rFonts w:ascii="Calibri" w:hAnsi="Calibri"/>
          <w:b w:val="0"/>
          <w:i w:val="0"/>
          <w:color w:val="1D1D1D"/>
          <w:sz w:val="20"/>
        </w:rPr>
        <w:t>[Arrears of ₹[AMOUNT] for [PERIOD] will be paid with the wages for [MONTH].] No one's pay has been reduced to make this change.</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of the employee: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04  ·  RECRUITMENT CHECKLIST</w:t>
      </w:r>
    </w:p>
    <w:p>
      <w:pPr>
        <w:keepNext w:val="0"/>
        <w:spacing w:after="120" w:before="0"/>
        <w:ind w:left="144"/>
        <w:shd w:val="clear" w:fill="F4FAFE"/>
      </w:pPr>
      <w:r>
        <w:rPr>
          <w:rFonts w:ascii="Calibri" w:hAnsi="Calibri"/>
          <w:b w:val="0"/>
          <w:i/>
          <w:color w:val="565656"/>
          <w:sz w:val="18"/>
        </w:rPr>
        <w:t>Note for HR, delete before sending: For whoever hires. No sex-based criteria, and the narrow legal exception spelt out.</w:t>
      </w:r>
    </w:p>
    <w:p>
      <w:pPr>
        <w:keepNext w:val="0"/>
        <w:spacing w:after="120" w:before="0"/>
        <w:ind w:left="144"/>
      </w:pPr>
      <w:r>
        <w:rPr>
          <w:rFonts w:ascii="Calibri" w:hAnsi="Calibri"/>
          <w:b w:val="0"/>
          <w:i/>
          <w:color w:val="565656"/>
          <w:sz w:val="16"/>
        </w:rPr>
        <w:t>The checklist starts below.</w:t>
      </w:r>
    </w:p>
    <w:tbl>
      <w:tblPr>
        <w:tblStyle w:val="TableGrid"/>
        <w:tblW w:type="auto" w:w="0"/>
        <w:tblLook w:firstColumn="1" w:firstRow="1" w:lastColumn="0" w:lastRow="0" w:noHBand="0" w:noVBand="1" w:val="04A0"/>
      </w:tblPr>
      <w:tblGrid>
        <w:gridCol w:w="3216"/>
        <w:gridCol w:w="3216"/>
        <w:gridCol w:w="3216"/>
      </w:tblGrid>
      <w:tr>
        <w:tc>
          <w:tcPr>
            <w:tcW w:type="dxa" w:w="6048"/>
          </w:tcPr>
          <w:p>
            <w:pPr>
              <w:spacing w:after="40"/>
              <w:shd w:val="clear" w:fill="E8F4FC"/>
            </w:pPr>
            <w:r/>
            <w:r>
              <w:rPr>
                <w:rFonts w:ascii="Calibri" w:hAnsi="Calibri"/>
                <w:b/>
                <w:color w:val="0069A4"/>
                <w:sz w:val="18"/>
              </w:rPr>
              <w:t>Check</w:t>
            </w:r>
          </w:p>
        </w:tc>
        <w:tc>
          <w:tcPr>
            <w:tcW w:type="dxa" w:w="2016"/>
          </w:tcPr>
          <w:p>
            <w:pPr>
              <w:spacing w:after="40"/>
              <w:shd w:val="clear" w:fill="E8F4FC"/>
            </w:pPr>
            <w:r/>
            <w:r>
              <w:rPr>
                <w:rFonts w:ascii="Calibri" w:hAnsi="Calibri"/>
                <w:b/>
                <w:color w:val="0069A4"/>
                <w:sz w:val="18"/>
              </w:rPr>
              <w:t>Law</w:t>
            </w:r>
          </w:p>
        </w:tc>
        <w:tc>
          <w:tcPr>
            <w:tcW w:type="dxa" w:w="1296"/>
          </w:tcPr>
          <w:p>
            <w:pPr>
              <w:spacing w:after="40"/>
              <w:shd w:val="clear" w:fill="E8F4FC"/>
            </w:pPr>
            <w:r/>
            <w:r>
              <w:rPr>
                <w:rFonts w:ascii="Calibri" w:hAnsi="Calibri"/>
                <w:b/>
                <w:color w:val="0069A4"/>
                <w:sz w:val="18"/>
              </w:rPr>
              <w:t>Done?</w:t>
            </w:r>
          </w:p>
        </w:tc>
      </w:tr>
      <w:tr>
        <w:tc>
          <w:tcPr>
            <w:tcW w:type="dxa" w:w="6048"/>
          </w:tcPr>
          <w:p>
            <w:pPr>
              <w:spacing w:after="40"/>
            </w:pPr>
            <w:r/>
            <w:r>
              <w:rPr>
                <w:rFonts w:ascii="Calibri" w:hAnsi="Calibri"/>
                <w:color w:val="565656"/>
                <w:sz w:val="18"/>
              </w:rPr>
              <w:t>The job advertisement names no sex or gender preference</w:t>
            </w:r>
          </w:p>
        </w:tc>
        <w:tc>
          <w:tcPr>
            <w:tcW w:type="dxa" w:w="2016"/>
          </w:tcPr>
          <w:p>
            <w:pPr>
              <w:spacing w:after="40"/>
            </w:pPr>
            <w:r/>
            <w:r>
              <w:rPr>
                <w:rFonts w:ascii="Calibri" w:hAnsi="Calibri"/>
                <w:color w:val="565656"/>
                <w:sz w:val="18"/>
              </w:rPr>
              <w:t>s.3(2)(ii)</w:t>
            </w:r>
          </w:p>
        </w:tc>
        <w:tc>
          <w:tcPr>
            <w:tcW w:type="dxa" w:w="1296"/>
          </w:tcPr>
          <w:p>
            <w:pPr>
              <w:spacing w:after="40"/>
            </w:pPr>
            <w:r/>
            <w:r>
              <w:rPr>
                <w:rFonts w:ascii="Calibri" w:hAnsi="Calibri"/>
                <w:color w:val="565656"/>
                <w:sz w:val="18"/>
              </w:rPr>
              <w:t>Yes / No</w:t>
            </w:r>
          </w:p>
        </w:tc>
      </w:tr>
      <w:tr>
        <w:tc>
          <w:tcPr>
            <w:tcW w:type="dxa" w:w="6048"/>
          </w:tcPr>
          <w:p>
            <w:pPr>
              <w:spacing w:after="40"/>
            </w:pPr>
            <w:r/>
            <w:r>
              <w:rPr>
                <w:rFonts w:ascii="Calibri" w:hAnsi="Calibri"/>
                <w:color w:val="565656"/>
                <w:sz w:val="18"/>
              </w:rPr>
              <w:t>The job description and selection criteria set out skill, effort, experience and responsibility, not sex</w:t>
            </w:r>
          </w:p>
        </w:tc>
        <w:tc>
          <w:tcPr>
            <w:tcW w:type="dxa" w:w="2016"/>
          </w:tcPr>
          <w:p>
            <w:pPr>
              <w:spacing w:after="40"/>
            </w:pPr>
            <w:r/>
            <w:r>
              <w:rPr>
                <w:rFonts w:ascii="Calibri" w:hAnsi="Calibri"/>
                <w:color w:val="565656"/>
                <w:sz w:val="18"/>
              </w:rPr>
              <w:t>s.3(2)(ii), s.2(v)</w:t>
            </w:r>
          </w:p>
        </w:tc>
        <w:tc>
          <w:tcPr>
            <w:tcW w:type="dxa" w:w="1296"/>
          </w:tcPr>
          <w:p>
            <w:pPr>
              <w:spacing w:after="40"/>
            </w:pPr>
            <w:r/>
            <w:r>
              <w:rPr>
                <w:rFonts w:ascii="Calibri" w:hAnsi="Calibri"/>
                <w:color w:val="565656"/>
                <w:sz w:val="18"/>
              </w:rPr>
              <w:t>Yes / No</w:t>
            </w:r>
          </w:p>
        </w:tc>
      </w:tr>
      <w:tr>
        <w:tc>
          <w:tcPr>
            <w:tcW w:type="dxa" w:w="6048"/>
          </w:tcPr>
          <w:p>
            <w:pPr>
              <w:spacing w:after="40"/>
            </w:pPr>
            <w:r/>
            <w:r>
              <w:rPr>
                <w:rFonts w:ascii="Calibri" w:hAnsi="Calibri"/>
                <w:color w:val="565656"/>
                <w:sz w:val="18"/>
              </w:rPr>
              <w:t>The offered pay is the same for the same work, whoever is hired</w:t>
            </w:r>
          </w:p>
        </w:tc>
        <w:tc>
          <w:tcPr>
            <w:tcW w:type="dxa" w:w="2016"/>
          </w:tcPr>
          <w:p>
            <w:pPr>
              <w:spacing w:after="40"/>
            </w:pPr>
            <w:r/>
            <w:r>
              <w:rPr>
                <w:rFonts w:ascii="Calibri" w:hAnsi="Calibri"/>
                <w:color w:val="565656"/>
                <w:sz w:val="18"/>
              </w:rPr>
              <w:t>s.3(1)</w:t>
            </w:r>
          </w:p>
        </w:tc>
        <w:tc>
          <w:tcPr>
            <w:tcW w:type="dxa" w:w="1296"/>
          </w:tcPr>
          <w:p>
            <w:pPr>
              <w:spacing w:after="40"/>
            </w:pPr>
            <w:r/>
            <w:r>
              <w:rPr>
                <w:rFonts w:ascii="Calibri" w:hAnsi="Calibri"/>
                <w:color w:val="565656"/>
                <w:sz w:val="18"/>
              </w:rPr>
              <w:t>Yes / No</w:t>
            </w:r>
          </w:p>
        </w:tc>
      </w:tr>
      <w:tr>
        <w:tc>
          <w:tcPr>
            <w:tcW w:type="dxa" w:w="6048"/>
          </w:tcPr>
          <w:p>
            <w:pPr>
              <w:spacing w:after="40"/>
            </w:pPr>
            <w:r/>
            <w:r>
              <w:rPr>
                <w:rFonts w:ascii="Calibri" w:hAnsi="Calibri"/>
                <w:color w:val="565656"/>
                <w:sz w:val="18"/>
              </w:rPr>
              <w:t>Shifts, transport and safeguards are offered, not used to exclude women</w:t>
            </w:r>
          </w:p>
        </w:tc>
        <w:tc>
          <w:tcPr>
            <w:tcW w:type="dxa" w:w="2016"/>
          </w:tcPr>
          <w:p>
            <w:pPr>
              <w:spacing w:after="40"/>
            </w:pPr>
            <w:r/>
            <w:r>
              <w:rPr>
                <w:rFonts w:ascii="Calibri" w:hAnsi="Calibri"/>
                <w:color w:val="565656"/>
                <w:sz w:val="18"/>
              </w:rPr>
              <w:t>OSH Code s.43</w:t>
            </w:r>
          </w:p>
        </w:tc>
        <w:tc>
          <w:tcPr>
            <w:tcW w:type="dxa" w:w="1296"/>
          </w:tcPr>
          <w:p>
            <w:pPr>
              <w:spacing w:after="40"/>
            </w:pPr>
            <w:r/>
            <w:r>
              <w:rPr>
                <w:rFonts w:ascii="Calibri" w:hAnsi="Calibri"/>
                <w:color w:val="565656"/>
                <w:sz w:val="18"/>
              </w:rPr>
              <w:t>Yes / No</w:t>
            </w:r>
          </w:p>
        </w:tc>
      </w:tr>
      <w:tr>
        <w:tc>
          <w:tcPr>
            <w:tcW w:type="dxa" w:w="6048"/>
          </w:tcPr>
          <w:p>
            <w:pPr>
              <w:spacing w:after="40"/>
            </w:pPr>
            <w:r/>
            <w:r>
              <w:rPr>
                <w:rFonts w:ascii="Calibri" w:hAnsi="Calibri"/>
                <w:color w:val="565656"/>
                <w:sz w:val="18"/>
              </w:rPr>
              <w:t>Any exclusion of women rests on a specific law that prohibits or restricts them in that work, and that law is named in the file</w:t>
            </w:r>
          </w:p>
        </w:tc>
        <w:tc>
          <w:tcPr>
            <w:tcW w:type="dxa" w:w="2016"/>
          </w:tcPr>
          <w:p>
            <w:pPr>
              <w:spacing w:after="40"/>
            </w:pPr>
            <w:r/>
            <w:r>
              <w:rPr>
                <w:rFonts w:ascii="Calibri" w:hAnsi="Calibri"/>
                <w:color w:val="565656"/>
                <w:sz w:val="18"/>
              </w:rPr>
              <w:t>s.3(2)(ii) exception</w:t>
            </w:r>
          </w:p>
        </w:tc>
        <w:tc>
          <w:tcPr>
            <w:tcW w:type="dxa" w:w="1296"/>
          </w:tcPr>
          <w:p>
            <w:pPr>
              <w:spacing w:after="40"/>
            </w:pPr>
            <w:r/>
            <w:r>
              <w:rPr>
                <w:rFonts w:ascii="Calibri" w:hAnsi="Calibri"/>
                <w:color w:val="565656"/>
                <w:sz w:val="18"/>
              </w:rPr>
              <w:t>Yes / No</w:t>
            </w:r>
          </w:p>
        </w:tc>
      </w:tr>
    </w:tbl>
    <w:p>
      <w:r>
        <w:br w:type="page"/>
      </w:r>
    </w:p>
    <w:p>
      <w:pPr>
        <w:pStyle w:val="Heading1"/>
        <w:keepNext/>
        <w:spacing w:after="200" w:before="80"/>
        <w:ind w:left="115"/>
        <w:shd w:val="clear" w:fill="0069A4"/>
      </w:pPr>
      <w:r>
        <w:rPr>
          <w:rFonts w:ascii="Calibri" w:hAnsi="Calibri"/>
          <w:b/>
          <w:color w:val="FFFFFF"/>
          <w:sz w:val="20"/>
        </w:rPr>
        <w:t>FORMAT 05  ·  REPLY TO AN EQUAL-PAY QUERY</w:t>
      </w:r>
    </w:p>
    <w:p>
      <w:pPr>
        <w:keepNext w:val="0"/>
        <w:spacing w:after="120" w:before="0"/>
        <w:ind w:left="144"/>
        <w:shd w:val="clear" w:fill="F4FAFE"/>
      </w:pPr>
      <w:r>
        <w:rPr>
          <w:rFonts w:ascii="Calibri" w:hAnsi="Calibri"/>
          <w:b w:val="0"/>
          <w:i/>
          <w:color w:val="565656"/>
          <w:sz w:val="18"/>
        </w:rPr>
        <w:t>Note for HR, delete before sending: For HR, when an employee asks why they are paid less. Keep one option. Do not name the colleague compared with or state their pay. If a claim has already been filed, take legal advice before replying.</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To: [EMPLOYEE NAME], Employee Code [CODE]</w:t>
      </w:r>
    </w:p>
    <w:p>
      <w:pPr>
        <w:keepNext w:val="0"/>
        <w:spacing w:after="100" w:before="0"/>
      </w:pPr>
      <w:r>
        <w:rPr>
          <w:rFonts w:ascii="Calibri" w:hAnsi="Calibri"/>
          <w:b w:val="0"/>
          <w:i w:val="0"/>
          <w:color w:val="1D1D1D"/>
          <w:sz w:val="20"/>
        </w:rPr>
        <w:t>Subject: Your query about pay</w:t>
      </w:r>
    </w:p>
    <w:p>
      <w:pPr>
        <w:keepNext w:val="0"/>
        <w:spacing w:after="100" w:before="0"/>
      </w:pPr>
      <w:r>
        <w:rPr>
          <w:rFonts w:ascii="Calibri" w:hAnsi="Calibri"/>
          <w:b w:val="0"/>
          <w:i w:val="0"/>
          <w:color w:val="1D1D1D"/>
          <w:sz w:val="20"/>
        </w:rPr>
        <w:t>Thank you for raising your query on [DD-MMM-YYYY]. We compared your work with [ROLE] on skill, effort, experience, responsibility and working conditions, and your pay on the base the Code on Wages uses for equal pay.</w:t>
      </w:r>
    </w:p>
    <w:p>
      <w:pPr>
        <w:keepNext w:val="0"/>
        <w:spacing w:after="100" w:before="0"/>
      </w:pPr>
      <w:r>
        <w:rPr>
          <w:rFonts w:ascii="Calibri" w:hAnsi="Calibri"/>
          <w:b w:val="0"/>
          <w:i w:val="0"/>
          <w:color w:val="1D1D1D"/>
          <w:sz w:val="20"/>
        </w:rPr>
        <w:t>[We found the work is the same and your pay was lower by ₹[AMOUNT] a month. It is corrected from [DD-MMM-YYYY], with arrears. / We found the work is the same and the difference comes from [FACTOR], which we apply in the same way to every employee whatever their gender. / We found the work differs in [HOW], which is why the pay differs.] You may ask for this to be reviewed by [NAME].</w:t>
      </w:r>
    </w:p>
    <w:p>
      <w:pPr>
        <w:keepNext w:val="0"/>
        <w:spacing w:after="100" w:before="0"/>
      </w:pPr>
      <w:r>
        <w:rPr>
          <w:rFonts w:ascii="Calibri" w:hAnsi="Calibri"/>
          <w:b w:val="0"/>
          <w:i w:val="0"/>
          <w:color w:val="1D1D1D"/>
          <w:sz w:val="20"/>
        </w:rPr>
        <w:t>You may also raise it with the Inspector-cum-Facilitator or the authority the government notifies for such disputes.</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of the employee: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06  ·  EQUAL PAY POLICY CLAUSE</w:t>
      </w:r>
    </w:p>
    <w:p>
      <w:pPr>
        <w:keepNext w:val="0"/>
        <w:spacing w:after="120" w:before="0"/>
        <w:ind w:left="144"/>
        <w:shd w:val="clear" w:fill="F4FAFE"/>
      </w:pPr>
      <w:r>
        <w:rPr>
          <w:rFonts w:ascii="Calibri" w:hAnsi="Calibri"/>
          <w:b w:val="0"/>
          <w:i/>
          <w:color w:val="565656"/>
          <w:sz w:val="18"/>
        </w:rPr>
        <w:t>Note for HR, delete before sending: For your HR policy. Every choice in [CAPITALS].</w:t>
      </w:r>
    </w:p>
    <w:p>
      <w:pPr>
        <w:keepNext w:val="0"/>
        <w:spacing w:after="120" w:before="0"/>
        <w:ind w:left="144"/>
      </w:pPr>
      <w:r>
        <w:rPr>
          <w:rFonts w:ascii="Calibri" w:hAnsi="Calibri"/>
          <w:b w:val="0"/>
          <w:i/>
          <w:color w:val="565656"/>
          <w:sz w:val="16"/>
        </w:rPr>
        <w:t>The clause starts below.</w:t>
      </w:r>
    </w:p>
    <w:p>
      <w:pPr>
        <w:keepNext w:val="0"/>
        <w:spacing w:after="120" w:before="0"/>
      </w:pPr>
      <w:r>
        <w:rPr>
          <w:rFonts w:ascii="Calibri" w:hAnsi="Calibri"/>
          <w:b/>
          <w:i w:val="0"/>
          <w:color w:val="1D1D1D"/>
          <w:sz w:val="20"/>
        </w:rPr>
        <w:t>EQUAL PAY</w:t>
      </w:r>
    </w:p>
    <w:p>
      <w:pPr>
        <w:keepNext w:val="0"/>
        <w:spacing w:after="120" w:before="0"/>
      </w:pPr>
      <w:r>
        <w:rPr>
          <w:rFonts w:ascii="Calibri" w:hAnsi="Calibri"/>
          <w:b w:val="0"/>
          <w:i w:val="0"/>
          <w:color w:val="1D1D1D"/>
          <w:sz w:val="20"/>
        </w:rPr>
        <w:t>1. The Company pays the same wages for the same work or work of a similar nature, whatever the employee's gender.</w:t>
      </w:r>
    </w:p>
    <w:p>
      <w:pPr>
        <w:keepNext w:val="0"/>
        <w:spacing w:after="120" w:before="0"/>
      </w:pPr>
      <w:r>
        <w:rPr>
          <w:rFonts w:ascii="Calibri" w:hAnsi="Calibri"/>
          <w:b w:val="0"/>
          <w:i w:val="0"/>
          <w:color w:val="1D1D1D"/>
          <w:sz w:val="20"/>
        </w:rPr>
        <w:t>2. Pay is compared on basic pay and DA, and on house rent allowance, conveyance, overtime and any award or settlement pay [and commission].</w:t>
      </w:r>
    </w:p>
    <w:p>
      <w:pPr>
        <w:keepNext w:val="0"/>
        <w:spacing w:after="120" w:before="0"/>
      </w:pPr>
      <w:r>
        <w:rPr>
          <w:rFonts w:ascii="Calibri" w:hAnsi="Calibri"/>
          <w:b w:val="0"/>
          <w:i w:val="0"/>
          <w:color w:val="1D1D1D"/>
          <w:sz w:val="20"/>
        </w:rPr>
        <w:t>3. A gap is corrected by raising the lower pay. No one's pay is reduced to remove a gap.</w:t>
      </w:r>
    </w:p>
    <w:p>
      <w:pPr>
        <w:keepNext w:val="0"/>
        <w:spacing w:after="120" w:before="0"/>
      </w:pPr>
      <w:r>
        <w:rPr>
          <w:rFonts w:ascii="Calibri" w:hAnsi="Calibri"/>
          <w:b w:val="0"/>
          <w:i w:val="0"/>
          <w:color w:val="1D1D1D"/>
          <w:sz w:val="20"/>
        </w:rPr>
        <w:t>4. Recruitment and conditions of employment do not differ by sex, except where a law prohibits or restricts women in that work.</w:t>
      </w:r>
    </w:p>
    <w:p>
      <w:pPr>
        <w:keepNext w:val="0"/>
        <w:spacing w:after="120" w:before="0"/>
      </w:pPr>
      <w:r>
        <w:rPr>
          <w:rFonts w:ascii="Calibri" w:hAnsi="Calibri"/>
          <w:b w:val="0"/>
          <w:i w:val="0"/>
          <w:color w:val="1D1D1D"/>
          <w:sz w:val="20"/>
        </w:rPr>
        <w:t>5. Pay is audited every [NUMBER] months, and any employee may ask for their pay to be compared. No one is treated less favourably for asking.</w:t>
      </w:r>
    </w:p>
    <w:p>
      <w:r>
        <w:br w:type="page"/>
      </w:r>
    </w:p>
    <w:p>
      <w:pPr>
        <w:pStyle w:val="Heading1"/>
        <w:keepNext/>
        <w:spacing w:after="200" w:before="80"/>
        <w:ind w:left="115"/>
        <w:shd w:val="clear" w:fill="008CDB"/>
      </w:pPr>
      <w:r>
        <w:rPr>
          <w:rFonts w:ascii="Calibri" w:hAnsi="Calibri"/>
          <w:b/>
          <w:color w:val="FFFFFF"/>
          <w:sz w:val="22"/>
        </w:rPr>
        <w:t>5.  EIGHT MISTAKES</w:t>
      </w:r>
    </w:p>
    <w:p>
      <w:pPr>
        <w:pStyle w:val="Heading2"/>
        <w:keepNext/>
        <w:spacing w:after="60" w:before="160"/>
      </w:pPr>
      <w:r>
        <w:rPr>
          <w:rFonts w:ascii="Calibri" w:hAnsi="Calibri"/>
          <w:b/>
          <w:color w:val="1D1D1D"/>
          <w:sz w:val="21"/>
        </w:rPr>
        <w:t>1.  Comparing basic pay only</w:t>
      </w:r>
    </w:p>
    <w:p>
      <w:pPr>
        <w:keepNext w:val="0"/>
        <w:spacing w:after="120" w:before="0"/>
      </w:pPr>
      <w:r>
        <w:rPr>
          <w:rFonts w:ascii="Calibri" w:hAnsi="Calibri"/>
          <w:b w:val="0"/>
          <w:i w:val="0"/>
          <w:color w:val="1D1D1D"/>
          <w:sz w:val="20"/>
        </w:rPr>
        <w:t>For equal pay the Code counts HRA, conveyance, overtime and award or settlement pay as wages too. A gap can hide in the allowances.</w:t>
      </w:r>
    </w:p>
    <w:p>
      <w:pPr>
        <w:pStyle w:val="Heading2"/>
        <w:keepNext/>
        <w:spacing w:after="60" w:before="160"/>
      </w:pPr>
      <w:r>
        <w:rPr>
          <w:rFonts w:ascii="Calibri" w:hAnsi="Calibri"/>
          <w:b/>
          <w:color w:val="1D1D1D"/>
          <w:sz w:val="21"/>
        </w:rPr>
        <w:t>2.  Fixing a gap by cutting the higher pay</w:t>
      </w:r>
    </w:p>
    <w:p>
      <w:pPr>
        <w:keepNext w:val="0"/>
        <w:spacing w:after="120" w:before="0"/>
      </w:pPr>
      <w:r>
        <w:rPr>
          <w:rFonts w:ascii="Calibri" w:hAnsi="Calibri"/>
          <w:b w:val="0"/>
          <w:i w:val="0"/>
          <w:color w:val="1D1D1D"/>
          <w:sz w:val="20"/>
        </w:rPr>
        <w:t>Section 3(2)(i) forbids reducing anyone's wages to comply. Raise the lower.</w:t>
      </w:r>
    </w:p>
    <w:p>
      <w:pPr>
        <w:pStyle w:val="Heading2"/>
        <w:keepNext/>
        <w:spacing w:after="60" w:before="160"/>
      </w:pPr>
      <w:r>
        <w:rPr>
          <w:rFonts w:ascii="Calibri" w:hAnsi="Calibri"/>
          <w:b/>
          <w:color w:val="1D1D1D"/>
          <w:sz w:val="21"/>
        </w:rPr>
        <w:t>3.  Comparing job titles, not work</w:t>
      </w:r>
    </w:p>
    <w:p>
      <w:pPr>
        <w:keepNext w:val="0"/>
        <w:spacing w:after="120" w:before="0"/>
      </w:pPr>
      <w:r>
        <w:rPr>
          <w:rFonts w:ascii="Calibri" w:hAnsi="Calibri"/>
          <w:b w:val="0"/>
          <w:i w:val="0"/>
          <w:color w:val="1D1D1D"/>
          <w:sz w:val="20"/>
        </w:rPr>
        <w:t>Same work means the same skill, effort, experience and responsibility under similar conditions. Titles prove nothing either way.</w:t>
      </w:r>
    </w:p>
    <w:p>
      <w:pPr>
        <w:pStyle w:val="Heading2"/>
        <w:keepNext/>
        <w:spacing w:after="60" w:before="160"/>
      </w:pPr>
      <w:r>
        <w:rPr>
          <w:rFonts w:ascii="Calibri" w:hAnsi="Calibri"/>
          <w:b/>
          <w:color w:val="1D1D1D"/>
          <w:sz w:val="21"/>
        </w:rPr>
        <w:t>4.  Calling any small difference 'different work'</w:t>
      </w:r>
    </w:p>
    <w:p>
      <w:pPr>
        <w:keepNext w:val="0"/>
        <w:spacing w:after="120" w:before="0"/>
      </w:pPr>
      <w:r>
        <w:rPr>
          <w:rFonts w:ascii="Calibri" w:hAnsi="Calibri"/>
          <w:b w:val="0"/>
          <w:i w:val="0"/>
          <w:color w:val="1D1D1D"/>
          <w:sz w:val="20"/>
        </w:rPr>
        <w:t>Only a difference of practical importance makes work dissimilar. A night shift can be one; pay it as a shift allowance open to everyone on that shift, not as a gender gap.</w:t>
      </w:r>
    </w:p>
    <w:p>
      <w:pPr>
        <w:pStyle w:val="Heading2"/>
        <w:keepNext/>
        <w:spacing w:after="60" w:before="160"/>
      </w:pPr>
      <w:r>
        <w:rPr>
          <w:rFonts w:ascii="Calibri" w:hAnsi="Calibri"/>
          <w:b/>
          <w:color w:val="1D1D1D"/>
          <w:sz w:val="21"/>
        </w:rPr>
        <w:t>5.  Reading the exception widely</w:t>
      </w:r>
    </w:p>
    <w:p>
      <w:pPr>
        <w:keepNext w:val="0"/>
        <w:spacing w:after="120" w:before="0"/>
      </w:pPr>
      <w:r>
        <w:rPr>
          <w:rFonts w:ascii="Calibri" w:hAnsi="Calibri"/>
          <w:b w:val="0"/>
          <w:i w:val="0"/>
          <w:color w:val="1D1D1D"/>
          <w:sz w:val="20"/>
        </w:rPr>
        <w:t>Sex-based hiring is allowed only where the law prohibits or restricts women in that work. The OSH Code entitles women to all types of work.</w:t>
      </w:r>
    </w:p>
    <w:p>
      <w:pPr>
        <w:pStyle w:val="Heading2"/>
        <w:keepNext/>
        <w:spacing w:after="60" w:before="160"/>
      </w:pPr>
      <w:r>
        <w:rPr>
          <w:rFonts w:ascii="Calibri" w:hAnsi="Calibri"/>
          <w:b/>
          <w:color w:val="1D1D1D"/>
          <w:sz w:val="21"/>
        </w:rPr>
        <w:t>6.  Thinking it applies only above a headcount</w:t>
      </w:r>
    </w:p>
    <w:p>
      <w:pPr>
        <w:keepNext w:val="0"/>
        <w:spacing w:after="120" w:before="0"/>
      </w:pPr>
      <w:r>
        <w:rPr>
          <w:rFonts w:ascii="Calibri" w:hAnsi="Calibri"/>
          <w:b w:val="0"/>
          <w:i w:val="0"/>
          <w:color w:val="1D1D1D"/>
          <w:sz w:val="20"/>
        </w:rPr>
        <w:t>The Code on Wages has no threshold. A ten-person office is covered.</w:t>
      </w:r>
    </w:p>
    <w:p>
      <w:pPr>
        <w:pStyle w:val="Heading2"/>
        <w:keepNext/>
        <w:spacing w:after="60" w:before="160"/>
      </w:pPr>
      <w:r>
        <w:rPr>
          <w:rFonts w:ascii="Calibri" w:hAnsi="Calibri"/>
          <w:b/>
          <w:color w:val="1D1D1D"/>
          <w:sz w:val="21"/>
        </w:rPr>
        <w:t>7.  Treating it as a women-only rule</w:t>
      </w:r>
    </w:p>
    <w:p>
      <w:pPr>
        <w:keepNext w:val="0"/>
        <w:spacing w:after="120" w:before="0"/>
      </w:pPr>
      <w:r>
        <w:rPr>
          <w:rFonts w:ascii="Calibri" w:hAnsi="Calibri"/>
          <w:b w:val="0"/>
          <w:i w:val="0"/>
          <w:color w:val="1D1D1D"/>
          <w:sz w:val="20"/>
        </w:rPr>
        <w:t>Section 3(1) says gender, and the definition speaks of employees of any gender.</w:t>
      </w:r>
    </w:p>
    <w:p>
      <w:pPr>
        <w:pStyle w:val="Heading2"/>
        <w:keepNext/>
        <w:spacing w:after="60" w:before="160"/>
      </w:pPr>
      <w:r>
        <w:rPr>
          <w:rFonts w:ascii="Calibri" w:hAnsi="Calibri"/>
          <w:b/>
          <w:color w:val="1D1D1D"/>
          <w:sz w:val="21"/>
        </w:rPr>
        <w:t>8.  Waiting for a complaint</w:t>
      </w:r>
    </w:p>
    <w:p>
      <w:pPr>
        <w:keepNext w:val="0"/>
        <w:spacing w:after="120" w:before="0"/>
      </w:pPr>
      <w:r>
        <w:rPr>
          <w:rFonts w:ascii="Calibri" w:hAnsi="Calibri"/>
          <w:b w:val="0"/>
          <w:i w:val="0"/>
          <w:color w:val="1D1D1D"/>
          <w:sz w:val="20"/>
        </w:rPr>
        <w:t>A claim can be filed within three years of arising and can carry compensation of up to ten times the amount. Audit now.</w:t>
      </w:r>
    </w:p>
    <w:p>
      <w:r>
        <w:br w:type="page"/>
      </w:r>
    </w:p>
    <w:p>
      <w:pPr>
        <w:pStyle w:val="Heading1"/>
        <w:keepNext/>
        <w:spacing w:after="200" w:before="80"/>
        <w:ind w:left="115"/>
        <w:shd w:val="clear" w:fill="008CDB"/>
      </w:pPr>
      <w:r>
        <w:rPr>
          <w:rFonts w:ascii="Calibri" w:hAnsi="Calibri"/>
          <w:b/>
          <w:color w:val="FFFFFF"/>
          <w:sz w:val="22"/>
        </w:rPr>
        <w:t>6.  WHAT THIS PACK COULD NOT SETTLE</w:t>
      </w:r>
    </w:p>
    <w:p>
      <w:pPr>
        <w:keepNext w:val="0"/>
        <w:spacing w:after="160" w:before="0"/>
      </w:pPr>
      <w:r>
        <w:rPr>
          <w:rFonts w:ascii="Calibri" w:hAnsi="Calibri"/>
          <w:b w:val="0"/>
          <w:i w:val="0"/>
          <w:color w:val="565656"/>
          <w:sz w:val="20"/>
        </w:rPr>
        <w:t>Said plainly, so a gap is not read as an answer.</w:t>
      </w:r>
    </w:p>
    <w:p>
      <w:pPr>
        <w:keepNext w:val="0"/>
        <w:spacing w:after="60" w:before="0"/>
        <w:ind w:left="360"/>
      </w:pPr>
      <w:r>
        <w:rPr>
          <w:rFonts w:ascii="Calibri" w:hAnsi="Calibri"/>
          <w:b w:val="0"/>
          <w:i w:val="0"/>
          <w:color w:val="1D1D1D"/>
          <w:sz w:val="20"/>
        </w:rPr>
        <w:t>•  Commission. The second proviso to section 2(y) brings conveyance, HRA, award pay and overtime into the equal-pay base, but not commission. Whether a commission gap between genders is outside section 3 is not settled; treat it as covered.</w:t>
      </w:r>
    </w:p>
    <w:p>
      <w:pPr>
        <w:keepNext w:val="0"/>
        <w:spacing w:after="60" w:before="0"/>
        <w:ind w:left="360"/>
      </w:pPr>
      <w:r>
        <w:rPr>
          <w:rFonts w:ascii="Calibri" w:hAnsi="Calibri"/>
          <w:b w:val="0"/>
          <w:i w:val="0"/>
          <w:color w:val="1D1D1D"/>
          <w:sz w:val="20"/>
        </w:rPr>
        <w:t>•  Which authority decides a same-work dispute. Section 4 leaves it to the appropriate Government to notify. The Wages (Central) Rules, 2026, which superseded the Equal Remuneration Rules, 1976, name none, and no State notification was read for this pack.</w:t>
      </w:r>
    </w:p>
    <w:p>
      <w:pPr>
        <w:keepNext w:val="0"/>
        <w:spacing w:after="60" w:before="0"/>
        <w:ind w:left="360"/>
      </w:pPr>
      <w:r>
        <w:rPr>
          <w:rFonts w:ascii="Calibri" w:hAnsi="Calibri"/>
          <w:b w:val="0"/>
          <w:i w:val="0"/>
          <w:color w:val="1D1D1D"/>
          <w:sz w:val="20"/>
        </w:rPr>
        <w:t>•  What counts as 'restricted by law'. Section 44 lets a government require safeguards for women in dangerous operations. Whether a safeguard is a restriction that permits sex-based hiring is not settled; our reading is that it is not.</w:t>
      </w:r>
    </w:p>
    <w:p>
      <w:r>
        <w:br w:type="page"/>
      </w:r>
    </w:p>
    <w:p>
      <w:pPr>
        <w:pStyle w:val="Heading1"/>
        <w:keepNext/>
        <w:spacing w:after="200" w:before="80"/>
        <w:ind w:left="115"/>
        <w:shd w:val="clear" w:fill="008CDB"/>
      </w:pPr>
      <w:r>
        <w:rPr>
          <w:rFonts w:ascii="Calibri" w:hAnsi="Calibri"/>
          <w:b/>
          <w:color w:val="FFFFFF"/>
          <w:sz w:val="22"/>
        </w:rPr>
        <w:t>7.  THIRTEEN CITATIONS</w:t>
      </w:r>
    </w:p>
    <w:p>
      <w:pPr>
        <w:keepNext w:val="0"/>
        <w:spacing w:after="160" w:before="0"/>
      </w:pPr>
      <w:r>
        <w:rPr>
          <w:rFonts w:ascii="Calibri" w:hAnsi="Calibri"/>
          <w:b w:val="0"/>
          <w:i w:val="0"/>
          <w:color w:val="565656"/>
          <w:sz w:val="20"/>
        </w:rPr>
        <w:t>Each read at its own provision on 09-Oct-2026.</w:t>
      </w:r>
    </w:p>
    <w:tbl>
      <w:tblPr>
        <w:tblStyle w:val="TableGrid"/>
        <w:tblW w:type="auto" w:w="0"/>
        <w:tblLook w:firstColumn="1" w:firstRow="1" w:lastColumn="0" w:lastRow="0" w:noHBand="0" w:noVBand="1" w:val="04A0"/>
      </w:tblPr>
      <w:tblGrid>
        <w:gridCol w:w="4824"/>
        <w:gridCol w:w="4824"/>
      </w:tblGrid>
      <w:tr>
        <w:tc>
          <w:tcPr>
            <w:tcW w:type="dxa" w:w="4176"/>
          </w:tcPr>
          <w:p>
            <w:pPr>
              <w:spacing w:after="40"/>
              <w:shd w:val="clear" w:fill="E8F4FC"/>
            </w:pPr>
            <w:r/>
            <w:r>
              <w:rPr>
                <w:rFonts w:ascii="Calibri" w:hAnsi="Calibri"/>
                <w:b/>
                <w:color w:val="0069A4"/>
                <w:sz w:val="17"/>
              </w:rPr>
              <w:t>Provision</w:t>
            </w:r>
          </w:p>
        </w:tc>
        <w:tc>
          <w:tcPr>
            <w:tcW w:type="dxa" w:w="5472"/>
          </w:tcPr>
          <w:p>
            <w:pPr>
              <w:spacing w:after="40"/>
              <w:shd w:val="clear" w:fill="E8F4FC"/>
            </w:pPr>
            <w:r/>
            <w:r>
              <w:rPr>
                <w:rFonts w:ascii="Calibri" w:hAnsi="Calibri"/>
                <w:b/>
                <w:color w:val="0069A4"/>
                <w:sz w:val="17"/>
              </w:rPr>
              <w:t>What it decides</w:t>
            </w:r>
          </w:p>
        </w:tc>
      </w:tr>
      <w:tr>
        <w:tc>
          <w:tcPr>
            <w:tcW w:type="dxa" w:w="4176"/>
          </w:tcPr>
          <w:p>
            <w:pPr>
              <w:spacing w:after="40"/>
            </w:pPr>
            <w:r/>
            <w:r>
              <w:rPr>
                <w:rFonts w:ascii="Calibri" w:hAnsi="Calibri"/>
                <w:color w:val="565656"/>
                <w:sz w:val="17"/>
              </w:rPr>
              <w:t>Code on Wages, 2019, s.3(1)</w:t>
            </w:r>
          </w:p>
        </w:tc>
        <w:tc>
          <w:tcPr>
            <w:tcW w:type="dxa" w:w="5472"/>
          </w:tcPr>
          <w:p>
            <w:pPr>
              <w:spacing w:after="40"/>
            </w:pPr>
            <w:r/>
            <w:r>
              <w:rPr>
                <w:rFonts w:ascii="Calibri" w:hAnsi="Calibri"/>
                <w:color w:val="565656"/>
                <w:sz w:val="17"/>
              </w:rPr>
              <w:t>No pay discrimination on the ground of gender for same or similar work</w:t>
            </w:r>
          </w:p>
        </w:tc>
      </w:tr>
      <w:tr>
        <w:tc>
          <w:tcPr>
            <w:tcW w:type="dxa" w:w="4176"/>
          </w:tcPr>
          <w:p>
            <w:pPr>
              <w:spacing w:after="40"/>
            </w:pPr>
            <w:r/>
            <w:r>
              <w:rPr>
                <w:rFonts w:ascii="Calibri" w:hAnsi="Calibri"/>
                <w:color w:val="565656"/>
                <w:sz w:val="17"/>
              </w:rPr>
              <w:t>Code on Wages, 2019, s.3(2)(i)</w:t>
            </w:r>
          </w:p>
        </w:tc>
        <w:tc>
          <w:tcPr>
            <w:tcW w:type="dxa" w:w="5472"/>
          </w:tcPr>
          <w:p>
            <w:pPr>
              <w:spacing w:after="40"/>
            </w:pPr>
            <w:r/>
            <w:r>
              <w:rPr>
                <w:rFonts w:ascii="Calibri" w:hAnsi="Calibri"/>
                <w:color w:val="565656"/>
                <w:sz w:val="17"/>
              </w:rPr>
              <w:t>No reducing anyone's wages to comply</w:t>
            </w:r>
          </w:p>
        </w:tc>
      </w:tr>
      <w:tr>
        <w:tc>
          <w:tcPr>
            <w:tcW w:type="dxa" w:w="4176"/>
          </w:tcPr>
          <w:p>
            <w:pPr>
              <w:spacing w:after="40"/>
            </w:pPr>
            <w:r/>
            <w:r>
              <w:rPr>
                <w:rFonts w:ascii="Calibri" w:hAnsi="Calibri"/>
                <w:color w:val="565656"/>
                <w:sz w:val="17"/>
              </w:rPr>
              <w:t>Code on Wages, 2019, s.3(2)(ii)</w:t>
            </w:r>
          </w:p>
        </w:tc>
        <w:tc>
          <w:tcPr>
            <w:tcW w:type="dxa" w:w="5472"/>
          </w:tcPr>
          <w:p>
            <w:pPr>
              <w:spacing w:after="40"/>
            </w:pPr>
            <w:r/>
            <w:r>
              <w:rPr>
                <w:rFonts w:ascii="Calibri" w:hAnsi="Calibri"/>
                <w:color w:val="565656"/>
                <w:sz w:val="17"/>
              </w:rPr>
              <w:t>No sex discrimination in recruitment and conditions; the narrow exception</w:t>
            </w:r>
          </w:p>
        </w:tc>
      </w:tr>
      <w:tr>
        <w:tc>
          <w:tcPr>
            <w:tcW w:type="dxa" w:w="4176"/>
          </w:tcPr>
          <w:p>
            <w:pPr>
              <w:spacing w:after="40"/>
            </w:pPr>
            <w:r/>
            <w:r>
              <w:rPr>
                <w:rFonts w:ascii="Calibri" w:hAnsi="Calibri"/>
                <w:color w:val="565656"/>
                <w:sz w:val="17"/>
              </w:rPr>
              <w:t>Code on Wages, 2019, s.2(v)</w:t>
            </w:r>
          </w:p>
        </w:tc>
        <w:tc>
          <w:tcPr>
            <w:tcW w:type="dxa" w:w="5472"/>
          </w:tcPr>
          <w:p>
            <w:pPr>
              <w:spacing w:after="40"/>
            </w:pPr>
            <w:r/>
            <w:r>
              <w:rPr>
                <w:rFonts w:ascii="Calibri" w:hAnsi="Calibri"/>
                <w:color w:val="565656"/>
                <w:sz w:val="17"/>
              </w:rPr>
              <w:t>Same work or work of a similar nature</w:t>
            </w:r>
          </w:p>
        </w:tc>
      </w:tr>
      <w:tr>
        <w:tc>
          <w:tcPr>
            <w:tcW w:type="dxa" w:w="4176"/>
          </w:tcPr>
          <w:p>
            <w:pPr>
              <w:spacing w:after="40"/>
            </w:pPr>
            <w:r/>
            <w:r>
              <w:rPr>
                <w:rFonts w:ascii="Calibri" w:hAnsi="Calibri"/>
                <w:color w:val="565656"/>
                <w:sz w:val="17"/>
              </w:rPr>
              <w:t>Code on Wages, 2019, s.2(y), second proviso</w:t>
            </w:r>
          </w:p>
        </w:tc>
        <w:tc>
          <w:tcPr>
            <w:tcW w:type="dxa" w:w="5472"/>
          </w:tcPr>
          <w:p>
            <w:pPr>
              <w:spacing w:after="40"/>
            </w:pPr>
            <w:r/>
            <w:r>
              <w:rPr>
                <w:rFonts w:ascii="Calibri" w:hAnsi="Calibri"/>
                <w:color w:val="565656"/>
                <w:sz w:val="17"/>
              </w:rPr>
              <w:t>For equal pay, conveyance, HRA, award pay and overtime are counted</w:t>
            </w:r>
          </w:p>
        </w:tc>
      </w:tr>
      <w:tr>
        <w:tc>
          <w:tcPr>
            <w:tcW w:type="dxa" w:w="4176"/>
          </w:tcPr>
          <w:p>
            <w:pPr>
              <w:spacing w:after="40"/>
            </w:pPr>
            <w:r/>
            <w:r>
              <w:rPr>
                <w:rFonts w:ascii="Calibri" w:hAnsi="Calibri"/>
                <w:color w:val="565656"/>
                <w:sz w:val="17"/>
              </w:rPr>
              <w:t>Code on Wages, 2019, s.4</w:t>
            </w:r>
          </w:p>
        </w:tc>
        <w:tc>
          <w:tcPr>
            <w:tcW w:type="dxa" w:w="5472"/>
          </w:tcPr>
          <w:p>
            <w:pPr>
              <w:spacing w:after="40"/>
            </w:pPr>
            <w:r/>
            <w:r>
              <w:rPr>
                <w:rFonts w:ascii="Calibri" w:hAnsi="Calibri"/>
                <w:color w:val="565656"/>
                <w:sz w:val="17"/>
              </w:rPr>
              <w:t>A dispute about similar work goes to the notified authority</w:t>
            </w:r>
          </w:p>
        </w:tc>
      </w:tr>
      <w:tr>
        <w:tc>
          <w:tcPr>
            <w:tcW w:type="dxa" w:w="4176"/>
          </w:tcPr>
          <w:p>
            <w:pPr>
              <w:spacing w:after="40"/>
            </w:pPr>
            <w:r/>
            <w:r>
              <w:rPr>
                <w:rFonts w:ascii="Calibri" w:hAnsi="Calibri"/>
                <w:color w:val="565656"/>
                <w:sz w:val="17"/>
              </w:rPr>
              <w:t>Code on Wages, 2019, s.45</w:t>
            </w:r>
          </w:p>
        </w:tc>
        <w:tc>
          <w:tcPr>
            <w:tcW w:type="dxa" w:w="5472"/>
          </w:tcPr>
          <w:p>
            <w:pPr>
              <w:spacing w:after="40"/>
            </w:pPr>
            <w:r/>
            <w:r>
              <w:rPr>
                <w:rFonts w:ascii="Calibri" w:hAnsi="Calibri"/>
                <w:color w:val="565656"/>
                <w:sz w:val="17"/>
              </w:rPr>
              <w:t>Claims: three years, compensation up to ten times</w:t>
            </w:r>
          </w:p>
        </w:tc>
      </w:tr>
      <w:tr>
        <w:tc>
          <w:tcPr>
            <w:tcW w:type="dxa" w:w="4176"/>
          </w:tcPr>
          <w:p>
            <w:pPr>
              <w:spacing w:after="40"/>
            </w:pPr>
            <w:r/>
            <w:r>
              <w:rPr>
                <w:rFonts w:ascii="Calibri" w:hAnsi="Calibri"/>
                <w:color w:val="565656"/>
                <w:sz w:val="17"/>
              </w:rPr>
              <w:t>Code on Wages, 2019, s.54(1)(a)</w:t>
            </w:r>
          </w:p>
        </w:tc>
        <w:tc>
          <w:tcPr>
            <w:tcW w:type="dxa" w:w="5472"/>
          </w:tcPr>
          <w:p>
            <w:pPr>
              <w:spacing w:after="40"/>
            </w:pPr>
            <w:r/>
            <w:r>
              <w:rPr>
                <w:rFonts w:ascii="Calibri" w:hAnsi="Calibri"/>
                <w:color w:val="565656"/>
                <w:sz w:val="17"/>
              </w:rPr>
              <w:t>Paying less than is due: fine up to ₹50,000</w:t>
            </w:r>
          </w:p>
        </w:tc>
      </w:tr>
      <w:tr>
        <w:tc>
          <w:tcPr>
            <w:tcW w:type="dxa" w:w="4176"/>
          </w:tcPr>
          <w:p>
            <w:pPr>
              <w:spacing w:after="40"/>
            </w:pPr>
            <w:r/>
            <w:r>
              <w:rPr>
                <w:rFonts w:ascii="Calibri" w:hAnsi="Calibri"/>
                <w:color w:val="565656"/>
                <w:sz w:val="17"/>
              </w:rPr>
              <w:t>Code on Wages, 2019, s.54(1)(c) and (3)</w:t>
            </w:r>
          </w:p>
        </w:tc>
        <w:tc>
          <w:tcPr>
            <w:tcW w:type="dxa" w:w="5472"/>
          </w:tcPr>
          <w:p>
            <w:pPr>
              <w:spacing w:after="40"/>
            </w:pPr>
            <w:r/>
            <w:r>
              <w:rPr>
                <w:rFonts w:ascii="Calibri" w:hAnsi="Calibri"/>
                <w:color w:val="565656"/>
                <w:sz w:val="17"/>
              </w:rPr>
              <w:t>Other contraventions: fine up to ₹20,000, after a chance to comply</w:t>
            </w:r>
          </w:p>
        </w:tc>
      </w:tr>
      <w:tr>
        <w:tc>
          <w:tcPr>
            <w:tcW w:type="dxa" w:w="4176"/>
          </w:tcPr>
          <w:p>
            <w:pPr>
              <w:spacing w:after="40"/>
            </w:pPr>
            <w:r/>
            <w:r>
              <w:rPr>
                <w:rFonts w:ascii="Calibri" w:hAnsi="Calibri"/>
                <w:color w:val="565656"/>
                <w:sz w:val="17"/>
              </w:rPr>
              <w:t>Code on Wages, 2019, s.69(1)</w:t>
            </w:r>
          </w:p>
        </w:tc>
        <w:tc>
          <w:tcPr>
            <w:tcW w:type="dxa" w:w="5472"/>
          </w:tcPr>
          <w:p>
            <w:pPr>
              <w:spacing w:after="40"/>
            </w:pPr>
            <w:r/>
            <w:r>
              <w:rPr>
                <w:rFonts w:ascii="Calibri" w:hAnsi="Calibri"/>
                <w:color w:val="565656"/>
                <w:sz w:val="17"/>
              </w:rPr>
              <w:t>The Equal Remuneration Act, 1976 repealed</w:t>
            </w:r>
          </w:p>
        </w:tc>
      </w:tr>
      <w:tr>
        <w:tc>
          <w:tcPr>
            <w:tcW w:type="dxa" w:w="4176"/>
          </w:tcPr>
          <w:p>
            <w:pPr>
              <w:spacing w:after="40"/>
            </w:pPr>
            <w:r/>
            <w:r>
              <w:rPr>
                <w:rFonts w:ascii="Calibri" w:hAnsi="Calibri"/>
                <w:color w:val="565656"/>
                <w:sz w:val="17"/>
              </w:rPr>
              <w:t>OSH Code, 2020, s.43</w:t>
            </w:r>
          </w:p>
        </w:tc>
        <w:tc>
          <w:tcPr>
            <w:tcW w:type="dxa" w:w="5472"/>
          </w:tcPr>
          <w:p>
            <w:pPr>
              <w:spacing w:after="40"/>
            </w:pPr>
            <w:r/>
            <w:r>
              <w:rPr>
                <w:rFonts w:ascii="Calibri" w:hAnsi="Calibri"/>
                <w:color w:val="565656"/>
                <w:sz w:val="17"/>
              </w:rPr>
              <w:t>Women entitled to all establishments and all types of work</w:t>
            </w:r>
          </w:p>
        </w:tc>
      </w:tr>
      <w:tr>
        <w:tc>
          <w:tcPr>
            <w:tcW w:type="dxa" w:w="4176"/>
          </w:tcPr>
          <w:p>
            <w:pPr>
              <w:spacing w:after="40"/>
            </w:pPr>
            <w:r/>
            <w:r>
              <w:rPr>
                <w:rFonts w:ascii="Calibri" w:hAnsi="Calibri"/>
                <w:color w:val="565656"/>
                <w:sz w:val="17"/>
              </w:rPr>
              <w:t>OSH Code, 2020, s.44</w:t>
            </w:r>
          </w:p>
        </w:tc>
        <w:tc>
          <w:tcPr>
            <w:tcW w:type="dxa" w:w="5472"/>
          </w:tcPr>
          <w:p>
            <w:pPr>
              <w:spacing w:after="40"/>
            </w:pPr>
            <w:r/>
            <w:r>
              <w:rPr>
                <w:rFonts w:ascii="Calibri" w:hAnsi="Calibri"/>
                <w:color w:val="565656"/>
                <w:sz w:val="17"/>
              </w:rPr>
              <w:t>Safeguards for women in dangerous operations</w:t>
            </w:r>
          </w:p>
        </w:tc>
      </w:tr>
      <w:tr>
        <w:tc>
          <w:tcPr>
            <w:tcW w:type="dxa" w:w="4176"/>
          </w:tcPr>
          <w:p>
            <w:pPr>
              <w:spacing w:after="40"/>
            </w:pPr>
            <w:r/>
            <w:r>
              <w:rPr>
                <w:rFonts w:ascii="Calibri" w:hAnsi="Calibri"/>
                <w:color w:val="565656"/>
                <w:sz w:val="17"/>
              </w:rPr>
              <w:t>IR Code, 2020, Second Schedule, Part I, item 5(a), and s.86(5)</w:t>
            </w:r>
          </w:p>
        </w:tc>
        <w:tc>
          <w:tcPr>
            <w:tcW w:type="dxa" w:w="5472"/>
          </w:tcPr>
          <w:p>
            <w:pPr>
              <w:spacing w:after="40"/>
            </w:pPr>
            <w:r/>
            <w:r>
              <w:rPr>
                <w:rFonts w:ascii="Calibri" w:hAnsi="Calibri"/>
                <w:color w:val="565656"/>
                <w:sz w:val="17"/>
              </w:rPr>
              <w:t>Dismissal by way of victimisation: an unfair labour practice, ₹10,000 to ₹2,00,000</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7"/>
        </w:rPr>
        <w:t>Provided by Attendo for general guidance, not legal advice, reviewed 09-Oct-2026.</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Equal Remuneration Pay Audit Pack  ·  reviewed 09-Oct-2026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Remuneration Pay Audit Pack</dc:title>
  <dc:subject/>
  <dc:creator>Attendo</dc:creator>
  <cp:keywords/>
  <dc:description>Reviewed 09-Oct-2026.</dc:description>
  <cp:lastModifiedBy/>
  <cp:revision>1</cp:revision>
  <dcterms:created xsi:type="dcterms:W3CDTF">2013-12-23T23:15:00Z</dcterms:created>
  <dcterms:modified xsi:type="dcterms:W3CDTF">2013-12-23T23:15:00Z</dcterms:modified>
  <cp:category/>
</cp:coreProperties>
</file>