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Employee NDA Pack</w:t>
      </w:r>
    </w:p>
    <w:p>
      <w:pPr>
        <w:keepNext w:val="0"/>
        <w:spacing w:after="320" w:before="0"/>
      </w:pPr>
      <w:r>
        <w:rPr>
          <w:rFonts w:ascii="Calibri" w:hAnsi="Calibri"/>
          <w:b w:val="0"/>
          <w:i w:val="0"/>
          <w:color w:val="565656"/>
          <w:sz w:val="26"/>
        </w:rPr>
        <w:t>The confidentiality agreement that holds in India, the non-compete that does not, and who owns the work</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 factories, offices, hospitals, software teams, stores and warehouses</w:t>
      </w:r>
    </w:p>
    <w:p>
      <w:pPr>
        <w:keepNext w:val="0"/>
        <w:spacing w:after="60" w:before="0"/>
        <w:ind w:left="360"/>
      </w:pPr>
      <w:r>
        <w:rPr>
          <w:rFonts w:ascii="Calibri" w:hAnsi="Calibri"/>
          <w:b w:val="0"/>
          <w:i w:val="0"/>
          <w:color w:val="565656"/>
          <w:sz w:val="21"/>
        </w:rPr>
        <w:t>•  A standalone employee NDA template, the same clauses for an appointment letter, and a schedule that says what is confidential</w:t>
      </w:r>
    </w:p>
    <w:p>
      <w:pPr>
        <w:keepNext w:val="0"/>
        <w:spacing w:after="60" w:before="0"/>
        <w:ind w:left="360"/>
      </w:pPr>
      <w:r>
        <w:rPr>
          <w:rFonts w:ascii="Calibri" w:hAnsi="Calibri"/>
          <w:b w:val="0"/>
          <w:i w:val="0"/>
          <w:color w:val="565656"/>
          <w:sz w:val="21"/>
        </w:rPr>
        <w:t>•  An IP assignment that names the work, the rights, the term and the territory, because an unstated one runs five years and stops at the border</w:t>
      </w:r>
    </w:p>
    <w:p>
      <w:pPr>
        <w:keepNext w:val="0"/>
        <w:spacing w:after="60" w:before="0"/>
        <w:ind w:left="360"/>
      </w:pPr>
      <w:r>
        <w:rPr>
          <w:rFonts w:ascii="Calibri" w:hAnsi="Calibri"/>
          <w:b w:val="0"/>
          <w:i w:val="0"/>
          <w:color w:val="565656"/>
          <w:sz w:val="21"/>
        </w:rPr>
        <w:t>•  What a breach costs: damages, an injunction, misconduct under the standing orders, and the IT Act penalty for personal information</w:t>
      </w:r>
    </w:p>
    <w:p>
      <w:pPr>
        <w:keepNext w:val="0"/>
        <w:spacing w:after="60" w:before="0"/>
        <w:ind w:left="360"/>
      </w:pPr>
      <w:r>
        <w:rPr>
          <w:rFonts w:ascii="Calibri" w:hAnsi="Calibri"/>
          <w:b w:val="0"/>
          <w:i w:val="0"/>
          <w:color w:val="565656"/>
          <w:sz w:val="21"/>
        </w:rPr>
        <w:t>•  Eight formats, eight mistakes and forty citations</w:t>
      </w:r>
    </w:p>
    <w:p>
      <w:pPr>
        <w:keepNext w:val="0"/>
        <w:spacing w:after="200" w:before="0"/>
      </w:pPr>
      <w:r>
        <w:rPr>
          <w:rFonts w:ascii="Calibri" w:hAnsi="Calibri"/>
          <w:b w:val="0"/>
          <w:i w:val="0"/>
          <w:color w:val="1D1D1D"/>
          <w:sz w:val="21"/>
        </w:rPr>
      </w:r>
    </w:p>
    <w:p>
      <w:pPr>
        <w:keepNext w:val="0"/>
        <w:spacing w:after="120" w:before="0"/>
      </w:pPr>
      <w:r>
        <w:rPr>
          <w:rFonts w:ascii="Calibri" w:hAnsi="Calibri"/>
          <w:b w:val="0"/>
          <w:i/>
          <w:color w:val="565656"/>
          <w:sz w:val="18"/>
        </w:rPr>
        <w:t>From Attendo (formerly Petpooja Payroll). Reviewed 27-Oct-2026. General guidance, not legal advice.</w:t>
      </w:r>
    </w:p>
    <w:p>
      <w:r>
        <w:br w:type="page"/>
      </w:r>
    </w:p>
    <w:p>
      <w:pPr>
        <w:pStyle w:val="Heading1"/>
        <w:keepNext/>
        <w:spacing w:after="200" w:before="80"/>
        <w:ind w:left="115"/>
        <w:shd w:val="clear" w:fill="008CDB"/>
      </w:pPr>
      <w:r>
        <w:rPr>
          <w:rFonts w:ascii="Calibri" w:hAnsi="Calibri"/>
          <w:b/>
          <w:color w:val="FFFFFF"/>
          <w:sz w:val="22"/>
        </w:rPr>
        <w:t>CONTENTS</w:t>
      </w:r>
    </w:p>
    <w:p>
      <w:pPr>
        <w:keepNext w:val="0"/>
        <w:spacing w:after="80" w:before="0"/>
      </w:pPr>
      <w:r>
        <w:rPr>
          <w:rFonts w:ascii="Calibri" w:hAnsi="Calibri"/>
          <w:b w:val="0"/>
          <w:i w:val="0"/>
          <w:color w:val="1D1D1D"/>
          <w:sz w:val="20"/>
        </w:rPr>
        <w:t>1.  What an NDA can and cannot do</w:t>
      </w:r>
    </w:p>
    <w:p>
      <w:pPr>
        <w:keepNext w:val="0"/>
        <w:spacing w:after="80" w:before="0"/>
      </w:pPr>
      <w:r>
        <w:rPr>
          <w:rFonts w:ascii="Calibri" w:hAnsi="Calibri"/>
          <w:b w:val="0"/>
          <w:i w:val="0"/>
          <w:color w:val="1D1D1D"/>
          <w:sz w:val="20"/>
        </w:rPr>
        <w:t>2.  The clauses that fail, and why</w:t>
      </w:r>
    </w:p>
    <w:p>
      <w:pPr>
        <w:keepNext w:val="0"/>
        <w:spacing w:after="80" w:before="0"/>
      </w:pPr>
      <w:r>
        <w:rPr>
          <w:rFonts w:ascii="Calibri" w:hAnsi="Calibri"/>
          <w:b w:val="0"/>
          <w:i w:val="0"/>
          <w:color w:val="1D1D1D"/>
          <w:sz w:val="20"/>
        </w:rPr>
        <w:t>3.  Who owns the work</w:t>
      </w:r>
    </w:p>
    <w:p>
      <w:pPr>
        <w:keepNext w:val="0"/>
        <w:spacing w:after="80" w:before="0"/>
      </w:pPr>
      <w:r>
        <w:rPr>
          <w:rFonts w:ascii="Calibri" w:hAnsi="Calibri"/>
          <w:b w:val="0"/>
          <w:i w:val="0"/>
          <w:color w:val="1D1D1D"/>
          <w:sz w:val="20"/>
        </w:rPr>
        <w:t>4.  When it is breached</w:t>
      </w:r>
    </w:p>
    <w:p>
      <w:pPr>
        <w:keepNext w:val="0"/>
        <w:spacing w:after="80" w:before="0"/>
      </w:pPr>
      <w:r>
        <w:rPr>
          <w:rFonts w:ascii="Calibri" w:hAnsi="Calibri"/>
          <w:b w:val="0"/>
          <w:i w:val="0"/>
          <w:color w:val="1D1D1D"/>
          <w:sz w:val="20"/>
        </w:rPr>
        <w:t>5.  Personal data in the NDA</w:t>
      </w:r>
    </w:p>
    <w:p>
      <w:pPr>
        <w:keepNext w:val="0"/>
        <w:spacing w:after="80" w:before="0"/>
      </w:pPr>
      <w:r>
        <w:rPr>
          <w:rFonts w:ascii="Calibri" w:hAnsi="Calibri"/>
          <w:b w:val="0"/>
          <w:i w:val="0"/>
          <w:color w:val="1D1D1D"/>
          <w:sz w:val="20"/>
        </w:rPr>
        <w:t>6.  Who these rules reach</w:t>
      </w:r>
    </w:p>
    <w:p>
      <w:pPr>
        <w:keepNext w:val="0"/>
        <w:spacing w:after="80" w:before="0"/>
      </w:pPr>
      <w:r>
        <w:rPr>
          <w:rFonts w:ascii="Calibri" w:hAnsi="Calibri"/>
          <w:b w:val="0"/>
          <w:i w:val="0"/>
          <w:color w:val="1D1D1D"/>
          <w:sz w:val="20"/>
        </w:rPr>
        <w:t>7.  Eight formats</w:t>
      </w:r>
    </w:p>
    <w:p>
      <w:pPr>
        <w:keepNext w:val="0"/>
        <w:spacing w:after="80" w:before="0"/>
      </w:pPr>
      <w:r>
        <w:rPr>
          <w:rFonts w:ascii="Calibri" w:hAnsi="Calibri"/>
          <w:b w:val="0"/>
          <w:i w:val="0"/>
          <w:color w:val="1D1D1D"/>
          <w:sz w:val="20"/>
        </w:rPr>
        <w:t>8.  Eight mistakes</w:t>
      </w:r>
    </w:p>
    <w:p>
      <w:pPr>
        <w:keepNext w:val="0"/>
        <w:spacing w:after="80" w:before="0"/>
      </w:pPr>
      <w:r>
        <w:rPr>
          <w:rFonts w:ascii="Calibri" w:hAnsi="Calibri"/>
          <w:b w:val="0"/>
          <w:i w:val="0"/>
          <w:color w:val="1D1D1D"/>
          <w:sz w:val="20"/>
        </w:rPr>
        <w:t>9.  What this pack could not settle</w:t>
      </w:r>
    </w:p>
    <w:p>
      <w:pPr>
        <w:keepNext w:val="0"/>
        <w:spacing w:after="80" w:before="0"/>
      </w:pPr>
      <w:r>
        <w:rPr>
          <w:rFonts w:ascii="Calibri" w:hAnsi="Calibri"/>
          <w:b w:val="0"/>
          <w:i w:val="0"/>
          <w:color w:val="1D1D1D"/>
          <w:sz w:val="20"/>
        </w:rPr>
        <w:t>10.  Forty citations</w:t>
      </w:r>
    </w:p>
    <w:p>
      <w:pPr>
        <w:keepNext w:val="0"/>
        <w:spacing w:after="160" w:before="0"/>
      </w:pPr>
      <w:r>
        <w:rPr>
          <w:rFonts w:ascii="Calibri" w:hAnsi="Calibri"/>
          <w:b w:val="0"/>
          <w:i w:val="0"/>
          <w:color w:val="1D1D1D"/>
          <w:sz w:val="21"/>
        </w:rPr>
      </w:r>
    </w:p>
    <w:p>
      <w:pPr>
        <w:keepNext w:val="0"/>
        <w:spacing w:after="160" w:before="0"/>
        <w:ind w:left="216"/>
        <w:shd w:val="clear" w:fill="F4FAFE"/>
      </w:pPr>
      <w:r>
        <w:rPr>
          <w:rFonts w:ascii="Calibri" w:hAnsi="Calibri"/>
          <w:b w:val="0"/>
          <w:i w:val="0"/>
          <w:color w:val="1D1D1D"/>
          <w:sz w:val="20"/>
        </w:rPr>
        <w:t>In a hurry? Follow the steps below: Format 03, then Format 01, with Format 04 if the role creates work. Before you add any clause of your own, read section 2: the clause most templates carry is the one that is void.</w:t>
      </w:r>
    </w:p>
    <w:p>
      <w:pPr>
        <w:keepNext w:val="0"/>
        <w:spacing w:after="80" w:before="0"/>
      </w:pPr>
      <w:r>
        <w:rPr>
          <w:rFonts w:ascii="Calibri" w:hAnsi="Calibri"/>
          <w:b w:val="0"/>
          <w:i w:val="0"/>
          <w:color w:val="1D1D1D"/>
          <w:sz w:val="21"/>
        </w:rPr>
      </w:r>
    </w:p>
    <w:p>
      <w:pPr>
        <w:pStyle w:val="Heading2"/>
        <w:keepNext/>
        <w:spacing w:after="60" w:before="160"/>
      </w:pPr>
      <w:r>
        <w:rPr>
          <w:rFonts w:ascii="Calibri" w:hAnsi="Calibri"/>
          <w:b/>
          <w:color w:val="1D1D1D"/>
          <w:sz w:val="21"/>
        </w:rPr>
        <w:t>Signing one with a new joiner</w:t>
      </w:r>
    </w:p>
    <w:p>
      <w:pPr>
        <w:keepNext w:val="0"/>
        <w:spacing w:after="60" w:before="0"/>
        <w:ind w:left="360"/>
      </w:pPr>
      <w:r>
        <w:rPr>
          <w:rFonts w:ascii="Calibri" w:hAnsi="Calibri"/>
          <w:b w:val="0"/>
          <w:i w:val="0"/>
          <w:color w:val="1D1D1D"/>
          <w:sz w:val="20"/>
        </w:rPr>
        <w:t>•  Fill Format 03 for the role: delete the rows the role never sees, write the examples it actually handles, keep every carve-out.</w:t>
      </w:r>
    </w:p>
    <w:p>
      <w:pPr>
        <w:keepNext w:val="0"/>
        <w:spacing w:after="60" w:before="0"/>
        <w:ind w:left="360"/>
      </w:pPr>
      <w:r>
        <w:rPr>
          <w:rFonts w:ascii="Calibri" w:hAnsi="Calibri"/>
          <w:b w:val="0"/>
          <w:i w:val="0"/>
          <w:color w:val="1D1D1D"/>
          <w:sz w:val="20"/>
        </w:rPr>
        <w:t>•  Fill Format 01. Attach Format 03 as Schedule 1, and Format 04 as Schedule 2 if the role writes code, designs, content or anything else the Company will own. In clause 8, delete the bracketed sentence unless you have read section 9.</w:t>
      </w:r>
    </w:p>
    <w:p>
      <w:pPr>
        <w:keepNext w:val="0"/>
        <w:spacing w:after="60" w:before="0"/>
        <w:ind w:left="360"/>
      </w:pPr>
      <w:r>
        <w:rPr>
          <w:rFonts w:ascii="Calibri" w:hAnsi="Calibri"/>
          <w:b w:val="0"/>
          <w:i w:val="0"/>
          <w:color w:val="1D1D1D"/>
          <w:sz w:val="20"/>
        </w:rPr>
        <w:t>•  Print two copies. Someone authorised to sign for the Company, such as a director, and the employee sign both and date them; a colleague who is not a party signs as witness, which makes the signatures easier to prove later. Each side keeps one copy.</w:t>
      </w:r>
    </w:p>
    <w:p>
      <w:pPr>
        <w:keepNext w:val="0"/>
        <w:spacing w:after="60" w:before="0"/>
        <w:ind w:left="360"/>
      </w:pPr>
      <w:r>
        <w:rPr>
          <w:rFonts w:ascii="Calibri" w:hAnsi="Calibri"/>
          <w:b w:val="0"/>
          <w:i w:val="0"/>
          <w:color w:val="1D1D1D"/>
          <w:sz w:val="20"/>
        </w:rPr>
        <w:t>•  Signing remotely: courier both copies for ink, or use an electronic signature under the IT Act. On our reading a typed name or a click is not one (section 6).</w:t>
      </w:r>
    </w:p>
    <w:p>
      <w:pPr>
        <w:keepNext w:val="0"/>
        <w:spacing w:after="60" w:before="0"/>
        <w:ind w:left="360"/>
      </w:pPr>
      <w:r>
        <w:rPr>
          <w:rFonts w:ascii="Calibri" w:hAnsi="Calibri"/>
          <w:b w:val="0"/>
          <w:i w:val="0"/>
          <w:color w:val="1D1D1D"/>
          <w:sz w:val="20"/>
        </w:rPr>
        <w:t>•  Stamp paper: a State matter this pack did not settle. Ask once, before the first signing, and apply the answer to every hire (section 9 says how).</w:t>
      </w:r>
    </w:p>
    <w:p>
      <w:pPr>
        <w:keepNext w:val="0"/>
        <w:spacing w:after="60" w:before="0"/>
        <w:ind w:left="360"/>
      </w:pPr>
      <w:r>
        <w:rPr>
          <w:rFonts w:ascii="Calibri" w:hAnsi="Calibri"/>
          <w:b w:val="0"/>
          <w:i w:val="0"/>
          <w:color w:val="1D1D1D"/>
          <w:sz w:val="20"/>
        </w:rPr>
        <w:t>•  Below 300 workers today and on every day of the last twelve months: the standing orders lines in Formats 01, 02 and 07 do not apply to you. Leave them in; they only operate where standing orders do.</w:t>
      </w:r>
    </w:p>
    <w:p>
      <w:r>
        <w:br w:type="page"/>
      </w:r>
    </w:p>
    <w:p>
      <w:pPr>
        <w:pStyle w:val="Heading1"/>
        <w:keepNext/>
        <w:spacing w:after="200" w:before="80"/>
        <w:ind w:left="115"/>
        <w:shd w:val="clear" w:fill="008CDB"/>
      </w:pPr>
      <w:r>
        <w:rPr>
          <w:rFonts w:ascii="Calibri" w:hAnsi="Calibri"/>
          <w:b/>
          <w:color w:val="FFFFFF"/>
          <w:sz w:val="22"/>
        </w:rPr>
        <w:t>1.  WHAT AN NDA CAN AND CANNOT DO</w:t>
      </w:r>
    </w:p>
    <w:p>
      <w:pPr>
        <w:keepNext w:val="0"/>
        <w:spacing w:after="120" w:before="0"/>
      </w:pPr>
      <w:r>
        <w:rPr>
          <w:rFonts w:ascii="Calibri" w:hAnsi="Calibri"/>
          <w:b w:val="0"/>
          <w:i w:val="0"/>
          <w:color w:val="1D1D1D"/>
          <w:sz w:val="20"/>
        </w:rPr>
        <w:t>An NDA is two promises people usually write as one. Pick the format by what you want to do:</w:t>
      </w:r>
    </w:p>
    <w:tbl>
      <w:tblPr>
        <w:tblStyle w:val="TableGrid"/>
        <w:tblW w:type="auto" w:w="0"/>
        <w:tblLook w:firstColumn="1" w:firstRow="1" w:lastColumn="0" w:lastRow="0" w:noHBand="0" w:noVBand="1" w:val="04A0"/>
      </w:tblPr>
      <w:tblGrid>
        <w:gridCol w:w="4945"/>
        <w:gridCol w:w="4945"/>
      </w:tblGrid>
      <w:tr>
        <w:tc>
          <w:tcPr>
            <w:tcW w:type="dxa" w:w="6624"/>
          </w:tcPr>
          <w:p>
            <w:pPr>
              <w:spacing w:after="40"/>
              <w:shd w:val="clear" w:fill="E8F4FC"/>
            </w:pPr>
            <w:r/>
            <w:r>
              <w:rPr>
                <w:rFonts w:ascii="Calibri" w:hAnsi="Calibri"/>
                <w:b/>
                <w:color w:val="0069A4"/>
                <w:sz w:val="18"/>
              </w:rPr>
              <w:t>If you want to...</w:t>
            </w:r>
          </w:p>
        </w:tc>
        <w:tc>
          <w:tcPr>
            <w:tcW w:type="dxa" w:w="2736"/>
          </w:tcPr>
          <w:p>
            <w:pPr>
              <w:spacing w:after="40"/>
              <w:shd w:val="clear" w:fill="E8F4FC"/>
            </w:pPr>
            <w:r/>
            <w:r>
              <w:rPr>
                <w:rFonts w:ascii="Calibri" w:hAnsi="Calibri"/>
                <w:b/>
                <w:color w:val="0069A4"/>
                <w:sz w:val="18"/>
              </w:rPr>
              <w:t>Use</w:t>
            </w:r>
          </w:p>
        </w:tc>
      </w:tr>
      <w:tr>
        <w:tc>
          <w:tcPr>
            <w:tcW w:type="dxa" w:w="6624"/>
          </w:tcPr>
          <w:p>
            <w:pPr>
              <w:spacing w:after="40"/>
            </w:pPr>
            <w:r/>
            <w:r>
              <w:rPr>
                <w:rFonts w:ascii="Calibri" w:hAnsi="Calibri"/>
                <w:color w:val="565656"/>
                <w:sz w:val="18"/>
              </w:rPr>
              <w:t>Sign a confidentiality agreement with a new or existing employee</w:t>
            </w:r>
          </w:p>
        </w:tc>
        <w:tc>
          <w:tcPr>
            <w:tcW w:type="dxa" w:w="2736"/>
          </w:tcPr>
          <w:p>
            <w:pPr>
              <w:spacing w:after="40"/>
            </w:pPr>
            <w:r/>
            <w:r>
              <w:rPr>
                <w:rFonts w:ascii="Calibri" w:hAnsi="Calibri"/>
                <w:color w:val="565656"/>
                <w:sz w:val="18"/>
              </w:rPr>
              <w:t>Format 01, with Format 03 filled in</w:t>
            </w:r>
          </w:p>
        </w:tc>
      </w:tr>
      <w:tr>
        <w:tc>
          <w:tcPr>
            <w:tcW w:type="dxa" w:w="6624"/>
          </w:tcPr>
          <w:p>
            <w:pPr>
              <w:spacing w:after="40"/>
            </w:pPr>
            <w:r/>
            <w:r>
              <w:rPr>
                <w:rFonts w:ascii="Calibri" w:hAnsi="Calibri"/>
                <w:color w:val="565656"/>
                <w:sz w:val="18"/>
              </w:rPr>
              <w:t>Put the same duties into the appointment letter instead</w:t>
            </w:r>
          </w:p>
        </w:tc>
        <w:tc>
          <w:tcPr>
            <w:tcW w:type="dxa" w:w="2736"/>
          </w:tcPr>
          <w:p>
            <w:pPr>
              <w:spacing w:after="40"/>
            </w:pPr>
            <w:r/>
            <w:r>
              <w:rPr>
                <w:rFonts w:ascii="Calibri" w:hAnsi="Calibri"/>
                <w:color w:val="565656"/>
                <w:sz w:val="18"/>
              </w:rPr>
              <w:t>Format 02, with Format 03</w:t>
            </w:r>
          </w:p>
        </w:tc>
      </w:tr>
      <w:tr>
        <w:tc>
          <w:tcPr>
            <w:tcW w:type="dxa" w:w="6624"/>
          </w:tcPr>
          <w:p>
            <w:pPr>
              <w:spacing w:after="40"/>
            </w:pPr>
            <w:r/>
            <w:r>
              <w:rPr>
                <w:rFonts w:ascii="Calibri" w:hAnsi="Calibri"/>
                <w:color w:val="565656"/>
                <w:sz w:val="18"/>
              </w:rPr>
              <w:t>Say what is confidential, and what is not</w:t>
            </w:r>
          </w:p>
        </w:tc>
        <w:tc>
          <w:tcPr>
            <w:tcW w:type="dxa" w:w="2736"/>
          </w:tcPr>
          <w:p>
            <w:pPr>
              <w:spacing w:after="40"/>
            </w:pPr>
            <w:r/>
            <w:r>
              <w:rPr>
                <w:rFonts w:ascii="Calibri" w:hAnsi="Calibri"/>
                <w:color w:val="565656"/>
                <w:sz w:val="18"/>
              </w:rPr>
              <w:t>Format 03</w:t>
            </w:r>
          </w:p>
        </w:tc>
      </w:tr>
      <w:tr>
        <w:tc>
          <w:tcPr>
            <w:tcW w:type="dxa" w:w="6624"/>
          </w:tcPr>
          <w:p>
            <w:pPr>
              <w:spacing w:after="40"/>
            </w:pPr>
            <w:r/>
            <w:r>
              <w:rPr>
                <w:rFonts w:ascii="Calibri" w:hAnsi="Calibri"/>
                <w:color w:val="565656"/>
                <w:sz w:val="18"/>
              </w:rPr>
              <w:t>Own the copyright and the right to patent what the employee creates</w:t>
            </w:r>
          </w:p>
        </w:tc>
        <w:tc>
          <w:tcPr>
            <w:tcW w:type="dxa" w:w="2736"/>
          </w:tcPr>
          <w:p>
            <w:pPr>
              <w:spacing w:after="40"/>
            </w:pPr>
            <w:r/>
            <w:r>
              <w:rPr>
                <w:rFonts w:ascii="Calibri" w:hAnsi="Calibri"/>
                <w:color w:val="565656"/>
                <w:sz w:val="18"/>
              </w:rPr>
              <w:t>Format 04</w:t>
            </w:r>
          </w:p>
        </w:tc>
      </w:tr>
      <w:tr>
        <w:tc>
          <w:tcPr>
            <w:tcW w:type="dxa" w:w="6624"/>
          </w:tcPr>
          <w:p>
            <w:pPr>
              <w:spacing w:after="40"/>
            </w:pPr>
            <w:r/>
            <w:r>
              <w:rPr>
                <w:rFonts w:ascii="Calibri" w:hAnsi="Calibri"/>
                <w:color w:val="565656"/>
                <w:sz w:val="18"/>
              </w:rPr>
              <w:t>Close the file when someone leaves</w:t>
            </w:r>
          </w:p>
        </w:tc>
        <w:tc>
          <w:tcPr>
            <w:tcW w:type="dxa" w:w="2736"/>
          </w:tcPr>
          <w:p>
            <w:pPr>
              <w:spacing w:after="40"/>
            </w:pPr>
            <w:r/>
            <w:r>
              <w:rPr>
                <w:rFonts w:ascii="Calibri" w:hAnsi="Calibri"/>
                <w:color w:val="565656"/>
                <w:sz w:val="18"/>
              </w:rPr>
              <w:t>Format 05</w:t>
            </w:r>
          </w:p>
        </w:tc>
      </w:tr>
      <w:tr>
        <w:tc>
          <w:tcPr>
            <w:tcW w:type="dxa" w:w="6624"/>
          </w:tcPr>
          <w:p>
            <w:pPr>
              <w:spacing w:after="40"/>
            </w:pPr>
            <w:r/>
            <w:r>
              <w:rPr>
                <w:rFonts w:ascii="Calibri" w:hAnsi="Calibri"/>
                <w:color w:val="565656"/>
                <w:sz w:val="18"/>
              </w:rPr>
              <w:t>Engage a consultant, freelancer or vendor's staff</w:t>
            </w:r>
          </w:p>
        </w:tc>
        <w:tc>
          <w:tcPr>
            <w:tcW w:type="dxa" w:w="2736"/>
          </w:tcPr>
          <w:p>
            <w:pPr>
              <w:spacing w:after="40"/>
            </w:pPr>
            <w:r/>
            <w:r>
              <w:rPr>
                <w:rFonts w:ascii="Calibri" w:hAnsi="Calibri"/>
                <w:color w:val="565656"/>
                <w:sz w:val="18"/>
              </w:rPr>
              <w:t>Format 06</w:t>
            </w:r>
          </w:p>
        </w:tc>
      </w:tr>
      <w:tr>
        <w:tc>
          <w:tcPr>
            <w:tcW w:type="dxa" w:w="6624"/>
          </w:tcPr>
          <w:p>
            <w:pPr>
              <w:spacing w:after="40"/>
            </w:pPr>
            <w:r/>
            <w:r>
              <w:rPr>
                <w:rFonts w:ascii="Calibri" w:hAnsi="Calibri"/>
                <w:color w:val="565656"/>
                <w:sz w:val="18"/>
              </w:rPr>
              <w:t>Act on a suspected leak</w:t>
            </w:r>
          </w:p>
        </w:tc>
        <w:tc>
          <w:tcPr>
            <w:tcW w:type="dxa" w:w="2736"/>
          </w:tcPr>
          <w:p>
            <w:pPr>
              <w:spacing w:after="40"/>
            </w:pPr>
            <w:r/>
            <w:r>
              <w:rPr>
                <w:rFonts w:ascii="Calibri" w:hAnsi="Calibri"/>
                <w:color w:val="565656"/>
                <w:sz w:val="18"/>
              </w:rPr>
              <w:t>Format 07, and section 4</w:t>
            </w:r>
          </w:p>
        </w:tc>
      </w:tr>
      <w:tr>
        <w:tc>
          <w:tcPr>
            <w:tcW w:type="dxa" w:w="6624"/>
          </w:tcPr>
          <w:p>
            <w:pPr>
              <w:spacing w:after="40"/>
            </w:pPr>
            <w:r/>
            <w:r>
              <w:rPr>
                <w:rFonts w:ascii="Calibri" w:hAnsi="Calibri"/>
                <w:color w:val="565656"/>
                <w:sz w:val="18"/>
              </w:rPr>
              <w:t>Check a draft someone else wrote</w:t>
            </w:r>
          </w:p>
        </w:tc>
        <w:tc>
          <w:tcPr>
            <w:tcW w:type="dxa" w:w="2736"/>
          </w:tcPr>
          <w:p>
            <w:pPr>
              <w:spacing w:after="40"/>
            </w:pPr>
            <w:r/>
            <w:r>
              <w:rPr>
                <w:rFonts w:ascii="Calibri" w:hAnsi="Calibri"/>
                <w:color w:val="565656"/>
                <w:sz w:val="18"/>
              </w:rPr>
              <w:t>Format 08</w:t>
            </w:r>
          </w:p>
        </w:tc>
      </w:tr>
    </w:tbl>
    <w:p>
      <w:pPr>
        <w:keepNext w:val="0"/>
        <w:spacing w:after="80" w:before="0"/>
      </w:pPr>
      <w:r>
        <w:rPr>
          <w:rFonts w:ascii="Calibri" w:hAnsi="Calibri"/>
          <w:b w:val="0"/>
          <w:i w:val="0"/>
          <w:color w:val="1D1D1D"/>
          <w:sz w:val="21"/>
        </w:rPr>
      </w:r>
    </w:p>
    <w:p>
      <w:pPr>
        <w:pStyle w:val="Heading2"/>
        <w:keepNext/>
        <w:spacing w:after="60" w:before="160"/>
      </w:pPr>
      <w:r>
        <w:rPr>
          <w:rFonts w:ascii="Calibri" w:hAnsi="Calibri"/>
          <w:b/>
          <w:color w:val="1D1D1D"/>
          <w:sz w:val="21"/>
        </w:rPr>
        <w:t>The promise that holds</w:t>
      </w:r>
    </w:p>
    <w:p>
      <w:pPr>
        <w:keepNext w:val="0"/>
        <w:spacing w:after="120" w:before="0"/>
      </w:pPr>
      <w:r>
        <w:rPr>
          <w:rFonts w:ascii="Calibri" w:hAnsi="Calibri"/>
          <w:b w:val="0"/>
          <w:i w:val="0"/>
          <w:color w:val="1D1D1D"/>
          <w:sz w:val="20"/>
        </w:rPr>
        <w:t>A promise not to disclose or misuse the Company's information is an ordinary contract: made by free consent, for a lawful consideration, with a lawful object (Indian Contract Act, 1872, s.10). It restrains information, not the employee. It holds during the employment and after it, and a court can award compensation for the loss a breach causes and restrain a further one. Section 4 says how.</w:t>
      </w:r>
    </w:p>
    <w:p>
      <w:pPr>
        <w:pStyle w:val="Heading2"/>
        <w:keepNext/>
        <w:spacing w:after="60" w:before="160"/>
      </w:pPr>
      <w:r>
        <w:rPr>
          <w:rFonts w:ascii="Calibri" w:hAnsi="Calibri"/>
          <w:b/>
          <w:color w:val="1D1D1D"/>
          <w:sz w:val="21"/>
        </w:rPr>
        <w:t>The promise that does not</w:t>
      </w:r>
    </w:p>
    <w:p>
      <w:pPr>
        <w:keepNext w:val="0"/>
        <w:spacing w:after="120" w:before="0"/>
      </w:pPr>
      <w:r>
        <w:rPr>
          <w:rFonts w:ascii="Calibri" w:hAnsi="Calibri"/>
          <w:b w:val="0"/>
          <w:i w:val="0"/>
          <w:color w:val="1D1D1D"/>
          <w:sz w:val="20"/>
        </w:rPr>
        <w:t>'Every agreement by which any one is restrained from exercising a lawful profession, trade or business of any kind, is to that extent void' (s.27). A promise not to join a competitor, not to work in the same trade, or not to work in the same city after leaving is that agreement. The operative words carry no test of reasonableness, so cutting the period to six months or the area to one city does not bring the clause inside the section. The section has one exception, a seller of goodwill agreeing not to compete with the buyer within limits the Court finds reasonable (Exception 1), and an employee's non-compete is not it.</w:t>
      </w:r>
    </w:p>
    <w:p>
      <w:pPr>
        <w:keepNext w:val="0"/>
        <w:spacing w:after="160" w:before="0"/>
        <w:ind w:left="216"/>
        <w:shd w:val="clear" w:fill="FFF8E8"/>
      </w:pPr>
      <w:r>
        <w:rPr>
          <w:rFonts w:ascii="Calibri" w:hAnsi="Calibri"/>
          <w:b w:val="0"/>
          <w:i w:val="0"/>
          <w:color w:val="1D1D1D"/>
          <w:sz w:val="20"/>
        </w:rPr>
        <w:t>'To that extent' is the useful phrase. The void clause falls; the rest of the agreement stands. So a non-compete in an otherwise sound NDA does not kill the NDA, but it does nothing, and it tells the employee and any court that the drafter did not know the law. Take it out.</w:t>
      </w:r>
    </w:p>
    <w:p>
      <w:pPr>
        <w:spacing w:after="120"/>
        <w:ind w:left="288"/>
      </w:pPr>
      <w:r>
        <w:rPr>
          <w:rFonts w:ascii="Calibri" w:hAnsi="Calibri"/>
          <w:b/>
          <w:color w:val="0069A4"/>
          <w:sz w:val="17"/>
        </w:rPr>
        <w:t xml:space="preserve">Rests on  </w:t>
      </w:r>
      <w:r>
        <w:rPr>
          <w:rFonts w:ascii="Calibri" w:hAnsi="Calibri"/>
          <w:i/>
          <w:color w:val="565656"/>
          <w:sz w:val="17"/>
        </w:rPr>
        <w:t>Indian Contract Act, 1872, s.10 and s.27</w:t>
      </w:r>
    </w:p>
    <w:p>
      <w:r>
        <w:br w:type="page"/>
      </w:r>
    </w:p>
    <w:p>
      <w:pPr>
        <w:pStyle w:val="Heading1"/>
        <w:keepNext/>
        <w:spacing w:after="200" w:before="80"/>
        <w:ind w:left="115"/>
        <w:shd w:val="clear" w:fill="008CDB"/>
      </w:pPr>
      <w:r>
        <w:rPr>
          <w:rFonts w:ascii="Calibri" w:hAnsi="Calibri"/>
          <w:b/>
          <w:color w:val="FFFFFF"/>
          <w:sz w:val="22"/>
        </w:rPr>
        <w:t>2.  THE CLAUSES THAT FAIL, AND WHY</w:t>
      </w:r>
    </w:p>
    <w:p>
      <w:pPr>
        <w:keepNext w:val="0"/>
        <w:spacing w:after="120" w:before="0"/>
      </w:pPr>
      <w:r>
        <w:rPr>
          <w:rFonts w:ascii="Calibri" w:hAnsi="Calibri"/>
          <w:b w:val="0"/>
          <w:i w:val="0"/>
          <w:color w:val="1D1D1D"/>
          <w:sz w:val="20"/>
        </w:rPr>
        <w:t>Five clauses from the usual template, the section that decides each, and what the pack writes instead.</w:t>
      </w:r>
    </w:p>
    <w:tbl>
      <w:tblPr>
        <w:tblStyle w:val="TableGrid"/>
        <w:tblW w:type="auto" w:w="0"/>
        <w:tblLook w:firstColumn="1" w:firstRow="1" w:lastColumn="0" w:lastRow="0" w:noHBand="0" w:noVBand="1" w:val="04A0"/>
      </w:tblPr>
      <w:tblGrid>
        <w:gridCol w:w="1648"/>
        <w:gridCol w:w="1648"/>
        <w:gridCol w:w="1648"/>
        <w:gridCol w:w="1648"/>
        <w:gridCol w:w="1648"/>
        <w:gridCol w:w="1648"/>
      </w:tblGrid>
      <w:tr>
        <w:tc>
          <w:tcPr>
            <w:tcW w:type="dxa" w:w="2448"/>
          </w:tcPr>
          <w:p>
            <w:pPr>
              <w:spacing w:after="40"/>
              <w:shd w:val="clear" w:fill="E8F4FC"/>
            </w:pPr>
            <w:r/>
            <w:r>
              <w:rPr>
                <w:rFonts w:ascii="Calibri" w:hAnsi="Calibri"/>
                <w:b/>
                <w:color w:val="0069A4"/>
                <w:sz w:val="16"/>
              </w:rPr>
              <w:t>Clause in the usual template</w:t>
            </w:r>
          </w:p>
        </w:tc>
        <w:tc>
          <w:tcPr>
            <w:tcW w:type="dxa" w:w="1008"/>
          </w:tcPr>
          <w:p>
            <w:pPr>
              <w:spacing w:after="40"/>
              <w:shd w:val="clear" w:fill="E8F4FC"/>
            </w:pPr>
            <w:r/>
            <w:r>
              <w:rPr>
                <w:rFonts w:ascii="Calibri" w:hAnsi="Calibri"/>
                <w:b/>
                <w:color w:val="0069A4"/>
                <w:sz w:val="16"/>
              </w:rPr>
              <w:t>Holds?</w:t>
            </w:r>
          </w:p>
        </w:tc>
        <w:tc>
          <w:tcPr>
            <w:tcW w:type="dxa" w:w="1872"/>
          </w:tcPr>
          <w:p>
            <w:pPr>
              <w:spacing w:after="40"/>
              <w:shd w:val="clear" w:fill="E8F4FC"/>
            </w:pPr>
            <w:r/>
            <w:r>
              <w:rPr>
                <w:rFonts w:ascii="Calibri" w:hAnsi="Calibri"/>
                <w:b/>
                <w:color w:val="0069A4"/>
                <w:sz w:val="16"/>
              </w:rPr>
              <w:t>Section</w:t>
            </w:r>
          </w:p>
        </w:tc>
        <w:tc>
          <w:tcPr>
            <w:tcW w:type="dxa" w:w="2736"/>
          </w:tcPr>
          <w:p>
            <w:pPr>
              <w:spacing w:after="40"/>
              <w:shd w:val="clear" w:fill="E8F4FC"/>
            </w:pPr>
            <w:r/>
            <w:r>
              <w:rPr>
                <w:rFonts w:ascii="Calibri" w:hAnsi="Calibri"/>
                <w:b/>
                <w:color w:val="0069A4"/>
                <w:sz w:val="16"/>
              </w:rPr>
              <w:t>Write instead</w:t>
            </w:r>
          </w:p>
        </w:tc>
        <w:tc>
          <w:tcPr>
            <w:tcW w:type="dxa" w:w="864"/>
          </w:tcPr>
          <w:p>
            <w:pPr>
              <w:spacing w:after="40"/>
              <w:shd w:val="clear" w:fill="E8F4FC"/>
            </w:pPr>
            <w:r/>
            <w:r>
              <w:rPr>
                <w:rFonts w:ascii="Calibri" w:hAnsi="Calibri"/>
                <w:b/>
                <w:color w:val="0069A4"/>
                <w:sz w:val="16"/>
              </w:rPr>
              <w:t>Format</w:t>
            </w:r>
          </w:p>
        </w:tc>
        <w:tc>
          <w:tcPr>
            <w:tcW w:type="dxa" w:w="864"/>
          </w:tcPr>
          <w:p>
            <w:pPr>
              <w:spacing w:after="40"/>
              <w:shd w:val="clear" w:fill="E8F4FC"/>
            </w:pPr>
            <w:r/>
            <w:r>
              <w:rPr>
                <w:rFonts w:ascii="Calibri" w:hAnsi="Calibri"/>
                <w:b/>
                <w:color w:val="0069A4"/>
                <w:sz w:val="16"/>
              </w:rPr>
              <w:t>Our reading?</w:t>
            </w:r>
          </w:p>
        </w:tc>
      </w:tr>
      <w:tr>
        <w:tc>
          <w:tcPr>
            <w:tcW w:type="dxa" w:w="2448"/>
          </w:tcPr>
          <w:p>
            <w:pPr>
              <w:spacing w:after="40"/>
            </w:pPr>
            <w:r/>
            <w:r>
              <w:rPr>
                <w:rFonts w:ascii="Calibri" w:hAnsi="Calibri"/>
                <w:color w:val="565656"/>
                <w:sz w:val="16"/>
              </w:rPr>
              <w:t>Confidentiality, during and after employment</w:t>
            </w:r>
          </w:p>
        </w:tc>
        <w:tc>
          <w:tcPr>
            <w:tcW w:type="dxa" w:w="1008"/>
          </w:tcPr>
          <w:p>
            <w:pPr>
              <w:spacing w:after="40"/>
            </w:pPr>
            <w:r/>
            <w:r>
              <w:rPr>
                <w:rFonts w:ascii="Calibri" w:hAnsi="Calibri"/>
                <w:color w:val="565656"/>
                <w:sz w:val="16"/>
              </w:rPr>
              <w:t>Yes</w:t>
            </w:r>
          </w:p>
        </w:tc>
        <w:tc>
          <w:tcPr>
            <w:tcW w:type="dxa" w:w="1872"/>
          </w:tcPr>
          <w:p>
            <w:pPr>
              <w:spacing w:after="40"/>
            </w:pPr>
            <w:r/>
            <w:r>
              <w:rPr>
                <w:rFonts w:ascii="Calibri" w:hAnsi="Calibri"/>
                <w:color w:val="565656"/>
                <w:sz w:val="16"/>
              </w:rPr>
              <w:t>Contract Act s.10</w:t>
            </w:r>
          </w:p>
        </w:tc>
        <w:tc>
          <w:tcPr>
            <w:tcW w:type="dxa" w:w="2736"/>
          </w:tcPr>
          <w:p>
            <w:pPr>
              <w:spacing w:after="40"/>
            </w:pPr>
            <w:r/>
            <w:r>
              <w:rPr>
                <w:rFonts w:ascii="Calibri" w:hAnsi="Calibri"/>
                <w:color w:val="565656"/>
                <w:sz w:val="16"/>
              </w:rPr>
              <w:t>List the categories in a schedule, carve out general skill</w:t>
            </w:r>
          </w:p>
        </w:tc>
        <w:tc>
          <w:tcPr>
            <w:tcW w:type="dxa" w:w="864"/>
          </w:tcPr>
          <w:p>
            <w:pPr>
              <w:spacing w:after="40"/>
            </w:pPr>
            <w:r/>
            <w:r>
              <w:rPr>
                <w:rFonts w:ascii="Calibri" w:hAnsi="Calibri"/>
                <w:color w:val="565656"/>
                <w:sz w:val="16"/>
              </w:rPr>
              <w:t>01 to 03</w:t>
            </w:r>
          </w:p>
        </w:tc>
        <w:tc>
          <w:tcPr>
            <w:tcW w:type="dxa" w:w="864"/>
          </w:tcPr>
          <w:p>
            <w:pPr>
              <w:spacing w:after="40"/>
            </w:pPr>
            <w:r/>
            <w:r>
              <w:rPr>
                <w:rFonts w:ascii="Calibri" w:hAnsi="Calibri"/>
                <w:color w:val="565656"/>
                <w:sz w:val="16"/>
              </w:rPr>
              <w:t>No</w:t>
            </w:r>
          </w:p>
        </w:tc>
      </w:tr>
      <w:tr>
        <w:tc>
          <w:tcPr>
            <w:tcW w:type="dxa" w:w="2448"/>
          </w:tcPr>
          <w:p>
            <w:pPr>
              <w:spacing w:after="40"/>
            </w:pPr>
            <w:r/>
            <w:r>
              <w:rPr>
                <w:rFonts w:ascii="Calibri" w:hAnsi="Calibri"/>
                <w:color w:val="565656"/>
                <w:sz w:val="16"/>
              </w:rPr>
              <w:t>Non-compete after leaving</w:t>
            </w:r>
          </w:p>
        </w:tc>
        <w:tc>
          <w:tcPr>
            <w:tcW w:type="dxa" w:w="1008"/>
          </w:tcPr>
          <w:p>
            <w:pPr>
              <w:spacing w:after="40"/>
            </w:pPr>
            <w:r/>
            <w:r>
              <w:rPr>
                <w:rFonts w:ascii="Calibri" w:hAnsi="Calibri"/>
                <w:color w:val="565656"/>
                <w:sz w:val="16"/>
              </w:rPr>
              <w:t>No</w:t>
            </w:r>
          </w:p>
        </w:tc>
        <w:tc>
          <w:tcPr>
            <w:tcW w:type="dxa" w:w="1872"/>
          </w:tcPr>
          <w:p>
            <w:pPr>
              <w:spacing w:after="40"/>
            </w:pPr>
            <w:r/>
            <w:r>
              <w:rPr>
                <w:rFonts w:ascii="Calibri" w:hAnsi="Calibri"/>
                <w:color w:val="565656"/>
                <w:sz w:val="16"/>
              </w:rPr>
              <w:t>Contract Act s.27</w:t>
            </w:r>
          </w:p>
        </w:tc>
        <w:tc>
          <w:tcPr>
            <w:tcW w:type="dxa" w:w="2736"/>
          </w:tcPr>
          <w:p>
            <w:pPr>
              <w:spacing w:after="40"/>
            </w:pPr>
            <w:r/>
            <w:r>
              <w:rPr>
                <w:rFonts w:ascii="Calibri" w:hAnsi="Calibri"/>
                <w:color w:val="565656"/>
                <w:sz w:val="16"/>
              </w:rPr>
              <w:t>Nothing. Protect the information, not the move</w:t>
            </w:r>
          </w:p>
        </w:tc>
        <w:tc>
          <w:tcPr>
            <w:tcW w:type="dxa" w:w="864"/>
          </w:tcPr>
          <w:p>
            <w:pPr>
              <w:spacing w:after="40"/>
            </w:pPr>
            <w:r/>
            <w:r>
              <w:rPr>
                <w:rFonts w:ascii="Calibri" w:hAnsi="Calibri"/>
                <w:color w:val="565656"/>
                <w:sz w:val="16"/>
              </w:rPr>
              <w:t>08</w:t>
            </w:r>
          </w:p>
        </w:tc>
        <w:tc>
          <w:tcPr>
            <w:tcW w:type="dxa" w:w="864"/>
          </w:tcPr>
          <w:p>
            <w:pPr>
              <w:spacing w:after="40"/>
            </w:pPr>
            <w:r/>
            <w:r>
              <w:rPr>
                <w:rFonts w:ascii="Calibri" w:hAnsi="Calibri"/>
                <w:color w:val="565656"/>
                <w:sz w:val="16"/>
              </w:rPr>
              <w:t>No</w:t>
            </w:r>
          </w:p>
        </w:tc>
      </w:tr>
      <w:tr>
        <w:tc>
          <w:tcPr>
            <w:tcW w:type="dxa" w:w="2448"/>
          </w:tcPr>
          <w:p>
            <w:pPr>
              <w:spacing w:after="40"/>
            </w:pPr>
            <w:r/>
            <w:r>
              <w:rPr>
                <w:rFonts w:ascii="Calibri" w:hAnsi="Calibri"/>
                <w:color w:val="565656"/>
                <w:sz w:val="16"/>
              </w:rPr>
              <w:t>Assignment of copyright and inventions</w:t>
            </w:r>
          </w:p>
        </w:tc>
        <w:tc>
          <w:tcPr>
            <w:tcW w:type="dxa" w:w="1008"/>
          </w:tcPr>
          <w:p>
            <w:pPr>
              <w:spacing w:after="40"/>
            </w:pPr>
            <w:r/>
            <w:r>
              <w:rPr>
                <w:rFonts w:ascii="Calibri" w:hAnsi="Calibri"/>
                <w:color w:val="565656"/>
                <w:sz w:val="16"/>
              </w:rPr>
              <w:t>Yes, in writing</w:t>
            </w:r>
          </w:p>
        </w:tc>
        <w:tc>
          <w:tcPr>
            <w:tcW w:type="dxa" w:w="1872"/>
          </w:tcPr>
          <w:p>
            <w:pPr>
              <w:spacing w:after="40"/>
            </w:pPr>
            <w:r/>
            <w:r>
              <w:rPr>
                <w:rFonts w:ascii="Calibri" w:hAnsi="Calibri"/>
                <w:color w:val="565656"/>
                <w:sz w:val="16"/>
              </w:rPr>
              <w:t>Copyright s.17(c), s.19; Patents s.6, s.68</w:t>
            </w:r>
          </w:p>
        </w:tc>
        <w:tc>
          <w:tcPr>
            <w:tcW w:type="dxa" w:w="2736"/>
          </w:tcPr>
          <w:p>
            <w:pPr>
              <w:spacing w:after="40"/>
            </w:pPr>
            <w:r/>
            <w:r>
              <w:rPr>
                <w:rFonts w:ascii="Calibri" w:hAnsi="Calibri"/>
                <w:color w:val="565656"/>
                <w:sz w:val="16"/>
              </w:rPr>
              <w:t>Name the work, the rights, the term and the territory</w:t>
            </w:r>
          </w:p>
        </w:tc>
        <w:tc>
          <w:tcPr>
            <w:tcW w:type="dxa" w:w="864"/>
          </w:tcPr>
          <w:p>
            <w:pPr>
              <w:spacing w:after="40"/>
            </w:pPr>
            <w:r/>
            <w:r>
              <w:rPr>
                <w:rFonts w:ascii="Calibri" w:hAnsi="Calibri"/>
                <w:color w:val="565656"/>
                <w:sz w:val="16"/>
              </w:rPr>
              <w:t>04</w:t>
            </w:r>
          </w:p>
        </w:tc>
        <w:tc>
          <w:tcPr>
            <w:tcW w:type="dxa" w:w="864"/>
          </w:tcPr>
          <w:p>
            <w:pPr>
              <w:spacing w:after="40"/>
            </w:pPr>
            <w:r/>
            <w:r>
              <w:rPr>
                <w:rFonts w:ascii="Calibri" w:hAnsi="Calibri"/>
                <w:color w:val="565656"/>
                <w:sz w:val="16"/>
              </w:rPr>
              <w:t>No</w:t>
            </w:r>
          </w:p>
        </w:tc>
      </w:tr>
      <w:tr>
        <w:tc>
          <w:tcPr>
            <w:tcW w:type="dxa" w:w="2448"/>
          </w:tcPr>
          <w:p>
            <w:pPr>
              <w:spacing w:after="40"/>
            </w:pPr>
            <w:r/>
            <w:r>
              <w:rPr>
                <w:rFonts w:ascii="Calibri" w:hAnsi="Calibri"/>
                <w:color w:val="565656"/>
                <w:sz w:val="16"/>
              </w:rPr>
              <w:t>A fixed sum payable on breach</w:t>
            </w:r>
          </w:p>
        </w:tc>
        <w:tc>
          <w:tcPr>
            <w:tcW w:type="dxa" w:w="1008"/>
          </w:tcPr>
          <w:p>
            <w:pPr>
              <w:spacing w:after="40"/>
            </w:pPr>
            <w:r/>
            <w:r>
              <w:rPr>
                <w:rFonts w:ascii="Calibri" w:hAnsi="Calibri"/>
                <w:color w:val="565656"/>
                <w:sz w:val="16"/>
              </w:rPr>
              <w:t>As a ceiling</w:t>
            </w:r>
          </w:p>
        </w:tc>
        <w:tc>
          <w:tcPr>
            <w:tcW w:type="dxa" w:w="1872"/>
          </w:tcPr>
          <w:p>
            <w:pPr>
              <w:spacing w:after="40"/>
            </w:pPr>
            <w:r/>
            <w:r>
              <w:rPr>
                <w:rFonts w:ascii="Calibri" w:hAnsi="Calibri"/>
                <w:color w:val="565656"/>
                <w:sz w:val="16"/>
              </w:rPr>
              <w:t>Contract Act s.74</w:t>
            </w:r>
          </w:p>
        </w:tc>
        <w:tc>
          <w:tcPr>
            <w:tcW w:type="dxa" w:w="2736"/>
          </w:tcPr>
          <w:p>
            <w:pPr>
              <w:spacing w:after="40"/>
            </w:pPr>
            <w:r/>
            <w:r>
              <w:rPr>
                <w:rFonts w:ascii="Calibri" w:hAnsi="Calibri"/>
                <w:color w:val="565656"/>
                <w:sz w:val="16"/>
              </w:rPr>
              <w:t>Claim the loss under s.73; never deduct it from wages</w:t>
            </w:r>
          </w:p>
        </w:tc>
        <w:tc>
          <w:tcPr>
            <w:tcW w:type="dxa" w:w="864"/>
          </w:tcPr>
          <w:p>
            <w:pPr>
              <w:spacing w:after="40"/>
            </w:pPr>
            <w:r/>
            <w:r>
              <w:rPr>
                <w:rFonts w:ascii="Calibri" w:hAnsi="Calibri"/>
                <w:color w:val="565656"/>
                <w:sz w:val="16"/>
              </w:rPr>
              <w:t>07</w:t>
            </w:r>
          </w:p>
        </w:tc>
        <w:tc>
          <w:tcPr>
            <w:tcW w:type="dxa" w:w="864"/>
          </w:tcPr>
          <w:p>
            <w:pPr>
              <w:spacing w:after="40"/>
            </w:pPr>
            <w:r/>
            <w:r>
              <w:rPr>
                <w:rFonts w:ascii="Calibri" w:hAnsi="Calibri"/>
                <w:color w:val="565656"/>
                <w:sz w:val="16"/>
              </w:rPr>
              <w:t>No</w:t>
            </w:r>
          </w:p>
        </w:tc>
      </w:tr>
      <w:tr>
        <w:tc>
          <w:tcPr>
            <w:tcW w:type="dxa" w:w="2448"/>
          </w:tcPr>
          <w:p>
            <w:pPr>
              <w:spacing w:after="40"/>
            </w:pPr>
            <w:r/>
            <w:r>
              <w:rPr>
                <w:rFonts w:ascii="Calibri" w:hAnsi="Calibri"/>
                <w:color w:val="565656"/>
                <w:sz w:val="16"/>
              </w:rPr>
              <w:t>Non-solicitation of staff and clients after leaving</w:t>
            </w:r>
          </w:p>
        </w:tc>
        <w:tc>
          <w:tcPr>
            <w:tcW w:type="dxa" w:w="1008"/>
          </w:tcPr>
          <w:p>
            <w:pPr>
              <w:spacing w:after="40"/>
            </w:pPr>
            <w:r/>
            <w:r>
              <w:rPr>
                <w:rFonts w:ascii="Calibri" w:hAnsi="Calibri"/>
                <w:color w:val="565656"/>
                <w:sz w:val="16"/>
              </w:rPr>
              <w:t>Open</w:t>
            </w:r>
          </w:p>
        </w:tc>
        <w:tc>
          <w:tcPr>
            <w:tcW w:type="dxa" w:w="1872"/>
          </w:tcPr>
          <w:p>
            <w:pPr>
              <w:spacing w:after="40"/>
            </w:pPr>
            <w:r/>
            <w:r>
              <w:rPr>
                <w:rFonts w:ascii="Calibri" w:hAnsi="Calibri"/>
                <w:color w:val="565656"/>
                <w:sz w:val="16"/>
              </w:rPr>
              <w:t>s.27</w:t>
            </w:r>
          </w:p>
        </w:tc>
        <w:tc>
          <w:tcPr>
            <w:tcW w:type="dxa" w:w="2736"/>
          </w:tcPr>
          <w:p>
            <w:pPr>
              <w:spacing w:after="40"/>
            </w:pPr>
            <w:r/>
            <w:r>
              <w:rPr>
                <w:rFonts w:ascii="Calibri" w:hAnsi="Calibri"/>
                <w:color w:val="565656"/>
                <w:sz w:val="16"/>
              </w:rPr>
              <w:t>Staff only, active inducement; no client limb</w:t>
            </w:r>
          </w:p>
        </w:tc>
        <w:tc>
          <w:tcPr>
            <w:tcW w:type="dxa" w:w="864"/>
          </w:tcPr>
          <w:p>
            <w:pPr>
              <w:spacing w:after="40"/>
            </w:pPr>
            <w:r/>
            <w:r>
              <w:rPr>
                <w:rFonts w:ascii="Calibri" w:hAnsi="Calibri"/>
                <w:color w:val="565656"/>
                <w:sz w:val="16"/>
              </w:rPr>
              <w:t>01</w:t>
            </w:r>
          </w:p>
        </w:tc>
        <w:tc>
          <w:tcPr>
            <w:tcW w:type="dxa" w:w="864"/>
          </w:tcPr>
          <w:p>
            <w:pPr>
              <w:spacing w:after="40"/>
            </w:pPr>
            <w:r/>
            <w:r>
              <w:rPr>
                <w:rFonts w:ascii="Calibri" w:hAnsi="Calibri"/>
                <w:color w:val="565656"/>
                <w:sz w:val="16"/>
              </w:rPr>
              <w:t>Yes</w:t>
            </w:r>
          </w:p>
        </w:tc>
      </w:tr>
    </w:tbl>
    <w:p>
      <w:pPr>
        <w:keepNext w:val="0"/>
        <w:spacing w:after="80" w:before="0"/>
      </w:pPr>
      <w:r>
        <w:rPr>
          <w:rFonts w:ascii="Calibri" w:hAnsi="Calibri"/>
          <w:b w:val="0"/>
          <w:i w:val="0"/>
          <w:color w:val="1D1D1D"/>
          <w:sz w:val="21"/>
        </w:rPr>
      </w:r>
    </w:p>
    <w:p>
      <w:pPr>
        <w:pStyle w:val="Heading2"/>
        <w:keepNext/>
        <w:spacing w:after="60" w:before="160"/>
      </w:pPr>
      <w:r>
        <w:rPr>
          <w:rFonts w:ascii="Calibri" w:hAnsi="Calibri"/>
          <w:b/>
          <w:color w:val="1D1D1D"/>
          <w:sz w:val="21"/>
        </w:rPr>
        <w:t>The non-compete in disguise</w:t>
      </w:r>
    </w:p>
    <w:p>
      <w:pPr>
        <w:keepNext w:val="0"/>
        <w:spacing w:after="120" w:before="0"/>
      </w:pPr>
      <w:r>
        <w:rPr>
          <w:rFonts w:ascii="Calibri" w:hAnsi="Calibri"/>
          <w:b w:val="0"/>
          <w:i w:val="0"/>
          <w:color w:val="1D1D1D"/>
          <w:sz w:val="20"/>
        </w:rPr>
        <w:t>A clause barring the employee from using 'the knowledge, skill and experience gained during the employment' is the commonest way a non-compete survives a first edit. It fails for the same reason: skill and experience are what a profession consists of, so restraining their use restrains the profession. The pack's definition of Confidential Information carves the employee's general knowledge, skill and experience out in terms, and Format 03 lists what is in.</w:t>
      </w:r>
    </w:p>
    <w:p>
      <w:pPr>
        <w:pStyle w:val="Heading2"/>
        <w:keepNext/>
        <w:spacing w:after="60" w:before="160"/>
      </w:pPr>
      <w:r>
        <w:rPr>
          <w:rFonts w:ascii="Calibri" w:hAnsi="Calibri"/>
          <w:b/>
          <w:color w:val="1D1D1D"/>
          <w:sz w:val="21"/>
        </w:rPr>
        <w:t>The round-sum penalty</w:t>
      </w:r>
    </w:p>
    <w:p>
      <w:pPr>
        <w:keepNext w:val="0"/>
        <w:spacing w:after="120" w:before="0"/>
      </w:pPr>
      <w:r>
        <w:rPr>
          <w:rFonts w:ascii="Calibri" w:hAnsi="Calibri"/>
          <w:b w:val="0"/>
          <w:i w:val="0"/>
          <w:color w:val="1D1D1D"/>
          <w:sz w:val="20"/>
        </w:rPr>
        <w:t>Where a clause says the employee will pay ₹5,00,000, or any other sum, on a breach, the party complaining is entitled to 'reasonable compensation not exceeding the amount so named' (s.74). The figure is a ceiling, not a debt that falls due. The section does say 'whether or not actual damage or loss is proved', so the sum is not limited to proven loss in terms; but a court awards what it finds reasonable, and on our reading the loss the breach caused (s.73) is the best evidence of that. Name no sum, or name one you could justify with figures.</w:t>
      </w:r>
    </w:p>
    <w:p>
      <w:pPr>
        <w:keepNext w:val="0"/>
        <w:spacing w:after="120" w:before="0"/>
      </w:pPr>
      <w:r>
        <w:rPr>
          <w:rFonts w:ascii="Calibri" w:hAnsi="Calibri"/>
          <w:b w:val="0"/>
          <w:i w:val="0"/>
          <w:color w:val="1D1D1D"/>
          <w:sz w:val="20"/>
        </w:rPr>
        <w:t>And it is never a deduction. The Code on Wages allows no deduction from wages except those it authorises (s.18(1)), lists them (s.18(2)), caps the total at 50 per cent of a wage period (s.18(3)), and deems a payment the employee makes to the employer a deduction (Explanation (a) to s.18(1)). A breach of a confidentiality agreement is not on the list, and an agreement by which the employee gives up wages is void to that extent (s.60). Recovering the sum from the final settlement is paying less than the amount due: on our reading, a fine up to ₹50,000 under s.54(1)(a). A repeat within five years risks up to three months or ₹1,00,000 (s.54(1)(b)), and the Code's opportunity to comply before prosecution covers other contraventions, not underpayment (s.54(3)). The employee, their registered union or the Inspector-cum-Facilitator can claim the amount within three years, and the authority may add compensation up to ten times the claim (s.45(2)). A first offence punishable only with fine can be compounded for half the maximum fine (s.56). Recover a judgment debt, never a deduction.</w:t>
      </w:r>
    </w:p>
    <w:p>
      <w:pPr>
        <w:keepNext w:val="0"/>
        <w:spacing w:after="120" w:before="0"/>
      </w:pPr>
      <w:r>
        <w:rPr>
          <w:rFonts w:ascii="Calibri" w:hAnsi="Calibri"/>
          <w:b w:val="0"/>
          <w:i w:val="0"/>
          <w:color w:val="1D1D1D"/>
          <w:sz w:val="20"/>
        </w:rPr>
        <w:t>Two things are not the same as a breach of confidence. Wages on leaving are due within two working days of the last day (s.17(2)), so the final settlement does not wait for an exit form, a returned laptop or a signature on anything. And an unreturned laptop is not a leak: a deduction for loss of goods expressly entrusted to the employee is on the list (s.18(2)(c)), but only up to the loss, only after the employee has had an opportunity of showing cause, and recorded in a register (s.21).</w:t>
      </w:r>
    </w:p>
    <w:p>
      <w:pPr>
        <w:pStyle w:val="Heading2"/>
        <w:keepNext/>
        <w:spacing w:after="60" w:before="160"/>
      </w:pPr>
      <w:r>
        <w:rPr>
          <w:rFonts w:ascii="Calibri" w:hAnsi="Calibri"/>
          <w:b/>
          <w:color w:val="1D1D1D"/>
          <w:sz w:val="21"/>
        </w:rPr>
        <w:t>'Everything is confidential'</w:t>
      </w:r>
    </w:p>
    <w:p>
      <w:pPr>
        <w:keepNext w:val="0"/>
        <w:spacing w:after="120" w:before="0"/>
      </w:pPr>
      <w:r>
        <w:rPr>
          <w:rFonts w:ascii="Calibri" w:hAnsi="Calibri"/>
          <w:b w:val="0"/>
          <w:i w:val="0"/>
          <w:color w:val="1D1D1D"/>
          <w:sz w:val="20"/>
        </w:rPr>
        <w:t>A court restrains the disclosure of something it can name. 'All information of the Company' names nothing, and a clause that wide also reaches the employee's own skill, which takes it back to s.27. Format 03 is the fix: categories, examples, and the five carve-outs.</w:t>
      </w:r>
    </w:p>
    <w:p>
      <w:pPr>
        <w:pStyle w:val="Heading2"/>
        <w:keepNext/>
        <w:spacing w:after="60" w:before="160"/>
      </w:pPr>
      <w:r>
        <w:rPr>
          <w:rFonts w:ascii="Calibri" w:hAnsi="Calibri"/>
          <w:b/>
          <w:color w:val="1D1D1D"/>
          <w:sz w:val="21"/>
        </w:rPr>
        <w:t>A duty that never ends</w:t>
      </w:r>
    </w:p>
    <w:p>
      <w:pPr>
        <w:keepNext w:val="0"/>
        <w:spacing w:after="120" w:before="0"/>
      </w:pPr>
      <w:r>
        <w:rPr>
          <w:rFonts w:ascii="Calibri" w:hAnsi="Calibri"/>
          <w:b w:val="0"/>
          <w:i w:val="0"/>
          <w:color w:val="1D1D1D"/>
          <w:sz w:val="20"/>
        </w:rPr>
        <w:t>Information stops being confidential when it becomes public, or when the Company itself publishes it. On our reading, a duty that outlasts that restrains more than information. The pack ties the duration to the information remaining confidential, which is the only duration that needs no end date.</w:t>
      </w:r>
    </w:p>
    <w:p>
      <w:pPr>
        <w:spacing w:after="120"/>
        <w:ind w:left="288"/>
      </w:pPr>
      <w:r>
        <w:rPr>
          <w:rFonts w:ascii="Calibri" w:hAnsi="Calibri"/>
          <w:b/>
          <w:color w:val="0069A4"/>
          <w:sz w:val="17"/>
        </w:rPr>
        <w:t xml:space="preserve">Rests on  </w:t>
      </w:r>
      <w:r>
        <w:rPr>
          <w:rFonts w:ascii="Calibri" w:hAnsi="Calibri"/>
          <w:i/>
          <w:color w:val="565656"/>
          <w:sz w:val="17"/>
        </w:rPr>
        <w:t>Indian Contract Act, 1872, s.27, s.73 and s.74; Code on Wages, 2019, s.17(2), s.18(1), (2) and (3), s.21, s.45(2), s.54(1) and (3), s.56 and s.60</w:t>
      </w:r>
    </w:p>
    <w:p>
      <w:r>
        <w:br w:type="page"/>
      </w:r>
    </w:p>
    <w:p>
      <w:pPr>
        <w:pStyle w:val="Heading1"/>
        <w:keepNext/>
        <w:spacing w:after="200" w:before="80"/>
        <w:ind w:left="115"/>
        <w:shd w:val="clear" w:fill="008CDB"/>
      </w:pPr>
      <w:r>
        <w:rPr>
          <w:rFonts w:ascii="Calibri" w:hAnsi="Calibri"/>
          <w:b/>
          <w:color w:val="FFFFFF"/>
          <w:sz w:val="22"/>
        </w:rPr>
        <w:t>3.  WHO OWNS THE WORK</w:t>
      </w:r>
    </w:p>
    <w:p>
      <w:pPr>
        <w:pStyle w:val="Heading2"/>
        <w:keepNext/>
        <w:spacing w:after="60" w:before="160"/>
      </w:pPr>
      <w:r>
        <w:rPr>
          <w:rFonts w:ascii="Calibri" w:hAnsi="Calibri"/>
          <w:b/>
          <w:color w:val="1D1D1D"/>
          <w:sz w:val="21"/>
        </w:rPr>
        <w:t>Copyright: yours by default, with three traps</w:t>
      </w:r>
    </w:p>
    <w:p>
      <w:pPr>
        <w:keepNext w:val="0"/>
        <w:spacing w:after="80" w:before="0"/>
      </w:pPr>
      <w:r>
        <w:rPr>
          <w:rFonts w:ascii="Calibri" w:hAnsi="Calibri"/>
          <w:b w:val="0"/>
          <w:i w:val="0"/>
          <w:color w:val="1D1D1D"/>
          <w:sz w:val="20"/>
        </w:rPr>
        <w:t>A literary, artistic or software work made in the course of the employee's employment under a contract of service belongs to the employer as first owner, 'in the absence of any agreement to the contrary' (Copyright Act, 1957, s.17, proviso (c)). So you do not need an assignment for an employee's ordinary work. Three things still go wrong.</w:t>
      </w:r>
    </w:p>
    <w:p>
      <w:pPr>
        <w:keepNext w:val="0"/>
        <w:spacing w:after="60" w:before="0"/>
        <w:ind w:left="360"/>
      </w:pPr>
      <w:r>
        <w:rPr>
          <w:rFonts w:ascii="Calibri" w:hAnsi="Calibri"/>
          <w:b w:val="0"/>
          <w:i w:val="0"/>
          <w:color w:val="1D1D1D"/>
          <w:sz w:val="20"/>
        </w:rPr>
        <w:t>•  The phrase is 'contract of service or apprenticeship'. A consultant works under a contract for services, and the default does not reach them. Format 06 carries its own assignment for that reason. An apprentice is inside the default.</w:t>
      </w:r>
    </w:p>
    <w:p>
      <w:pPr>
        <w:keepNext w:val="0"/>
        <w:spacing w:after="60" w:before="0"/>
        <w:ind w:left="360"/>
      </w:pPr>
      <w:r>
        <w:rPr>
          <w:rFonts w:ascii="Calibri" w:hAnsi="Calibri"/>
          <w:b w:val="0"/>
          <w:i w:val="0"/>
          <w:color w:val="1D1D1D"/>
          <w:sz w:val="20"/>
        </w:rPr>
        <w:t>•  Where a template does assign, it usually says 'all IP vests in the Company' and stops. An assignment is valid only in writing signed by the assignor, and must identify the work and specify the rights, the duration and the territory (s.19(1) and (2)). Leave the period out and it is five years (s.19(5)); leave the territory out and it is India (s.19(6)). Format 04 names all four.</w:t>
      </w:r>
    </w:p>
    <w:p>
      <w:pPr>
        <w:keepNext w:val="0"/>
        <w:spacing w:after="60" w:before="0"/>
        <w:ind w:left="360"/>
      </w:pPr>
      <w:r>
        <w:rPr>
          <w:rFonts w:ascii="Calibri" w:hAnsi="Calibri"/>
          <w:b w:val="0"/>
          <w:i w:val="0"/>
          <w:color w:val="1D1D1D"/>
          <w:sz w:val="20"/>
        </w:rPr>
        <w:t>•  And an assignment lapses as to any right the assignee does not exercise within one year, 'unless otherwise specified in the assignment' (s.19(4)). Software, designs and manuals often sit unused for longer than that, so Formats 04 and 06 specify otherwise.</w:t>
      </w:r>
    </w:p>
    <w:p>
      <w:pPr>
        <w:keepNext w:val="0"/>
        <w:spacing w:after="120" w:before="0"/>
      </w:pPr>
      <w:r>
        <w:rPr>
          <w:rFonts w:ascii="Calibri" w:hAnsi="Calibri"/>
          <w:b w:val="0"/>
          <w:i w:val="0"/>
          <w:color w:val="1D1D1D"/>
          <w:sz w:val="20"/>
        </w:rPr>
        <w:t>The author's special rights, to claim authorship and to object to a distortion that harms their reputation, survive any assignment (s.57). Format 04 says so rather than pretending to take them, and records the employee's agreement to the adaptation of software that s.52(1)(aa) allows.</w:t>
      </w:r>
    </w:p>
    <w:p>
      <w:pPr>
        <w:pStyle w:val="Heading2"/>
        <w:keepNext/>
        <w:spacing w:after="60" w:before="160"/>
      </w:pPr>
      <w:r>
        <w:rPr>
          <w:rFonts w:ascii="Calibri" w:hAnsi="Calibri"/>
          <w:b/>
          <w:color w:val="1D1D1D"/>
          <w:sz w:val="21"/>
        </w:rPr>
        <w:t>Patents: no employer default at all</w:t>
      </w:r>
    </w:p>
    <w:p>
      <w:pPr>
        <w:keepNext w:val="0"/>
        <w:spacing w:after="120" w:before="0"/>
      </w:pPr>
      <w:r>
        <w:rPr>
          <w:rFonts w:ascii="Calibri" w:hAnsi="Calibri"/>
          <w:b w:val="0"/>
          <w:i w:val="0"/>
          <w:color w:val="1D1D1D"/>
          <w:sz w:val="20"/>
        </w:rPr>
        <w:t>An application for a patent is made by the person claiming to be the true and first inventor, or by the assignee of the right to apply (Patents Act, 1970, s.6(1)). There is no clause giving the employer the invention. Without an assignment, the employee who invented it is the one entitled to apply. The Company applies as 'the assignee ... in respect of the right to make such an application' (s.6(1)(b)) and files proof of that right with the application or within the prescribed period after it (s.7(2)), which is why the assignment is written down. Once a patent is granted, any assignment of it must be in writing, in a document embodying all the terms, duly executed (s.68). Format 04 assigns the right to apply and the patent, and adds a disclosure form, because an invention you do not know about is one you cannot file. It reaches only inventions made during the employment, in its course or with the Company's resources or information. On our reading, a clause reaching what the employee invents after leaving, or on their own time and equipment for something outside the job, restrains the work they do next (s.27), and Format 04 leaves both out.</w:t>
      </w:r>
    </w:p>
    <w:p>
      <w:pPr>
        <w:keepNext w:val="0"/>
        <w:spacing w:after="160" w:before="0"/>
        <w:ind w:left="216"/>
        <w:shd w:val="clear" w:fill="FFF8E8"/>
      </w:pPr>
      <w:r>
        <w:rPr>
          <w:rFonts w:ascii="Calibri" w:hAnsi="Calibri"/>
          <w:b w:val="0"/>
          <w:i w:val="0"/>
          <w:color w:val="1D1D1D"/>
          <w:sz w:val="20"/>
        </w:rPr>
        <w:t>Copyright comes to you; a patent does not. The sentence to remember when someone says the IP clause is 'standard'.</w:t>
      </w:r>
    </w:p>
    <w:p>
      <w:pPr>
        <w:spacing w:after="120"/>
        <w:ind w:left="288"/>
      </w:pPr>
      <w:r>
        <w:rPr>
          <w:rFonts w:ascii="Calibri" w:hAnsi="Calibri"/>
          <w:b/>
          <w:color w:val="0069A4"/>
          <w:sz w:val="17"/>
        </w:rPr>
        <w:t xml:space="preserve">Rests on  </w:t>
      </w:r>
      <w:r>
        <w:rPr>
          <w:rFonts w:ascii="Calibri" w:hAnsi="Calibri"/>
          <w:i/>
          <w:color w:val="565656"/>
          <w:sz w:val="17"/>
        </w:rPr>
        <w:t>Copyright Act, 1957, s.17 proviso (c), s.19(1), (2), (5) and (6), s.19(4), s.52(1)(aa) and s.57; Patents Act, 1970, s.6(1), s.7(2) and s.68</w:t>
      </w:r>
    </w:p>
    <w:p>
      <w:r>
        <w:br w:type="page"/>
      </w:r>
    </w:p>
    <w:p>
      <w:pPr>
        <w:pStyle w:val="Heading1"/>
        <w:keepNext/>
        <w:spacing w:after="200" w:before="80"/>
        <w:ind w:left="115"/>
        <w:shd w:val="clear" w:fill="008CDB"/>
      </w:pPr>
      <w:r>
        <w:rPr>
          <w:rFonts w:ascii="Calibri" w:hAnsi="Calibri"/>
          <w:b/>
          <w:color w:val="FFFFFF"/>
          <w:sz w:val="22"/>
        </w:rPr>
        <w:t>4.  WHEN IT IS BREACHED</w:t>
      </w:r>
    </w:p>
    <w:p>
      <w:pPr>
        <w:keepNext w:val="0"/>
        <w:spacing w:after="120" w:before="0"/>
      </w:pPr>
      <w:r>
        <w:rPr>
          <w:rFonts w:ascii="Calibri" w:hAnsi="Calibri"/>
          <w:b w:val="0"/>
          <w:i w:val="0"/>
          <w:color w:val="1D1D1D"/>
          <w:sz w:val="20"/>
        </w:rPr>
        <w:t>Four routes, each with its own limit. Format 07 opens the first two; the others run separately.</w:t>
      </w:r>
    </w:p>
    <w:p>
      <w:pPr>
        <w:pStyle w:val="Heading2"/>
        <w:keepNext/>
        <w:spacing w:after="60" w:before="160"/>
      </w:pPr>
      <w:r>
        <w:rPr>
          <w:rFonts w:ascii="Calibri" w:hAnsi="Calibri"/>
          <w:b/>
          <w:color w:val="1D1D1D"/>
          <w:sz w:val="21"/>
        </w:rPr>
        <w:t>Compensation and an injunction</w:t>
      </w:r>
    </w:p>
    <w:p>
      <w:pPr>
        <w:keepNext w:val="0"/>
        <w:spacing w:after="120" w:before="0"/>
      </w:pPr>
      <w:r>
        <w:rPr>
          <w:rFonts w:ascii="Calibri" w:hAnsi="Calibri"/>
          <w:b w:val="0"/>
          <w:i w:val="0"/>
          <w:color w:val="1D1D1D"/>
          <w:sz w:val="20"/>
        </w:rPr>
        <w:t>The Company may claim the loss that naturally arose from the breach, or that both parties knew was likely, and nothing for remote loss (Indian Contract Act, s.73). If the agreement names a sum, that sum is the ceiling (s.74). Separately, the Company may ask a court to restrain further disclosure. An employment contract itself is not specifically enforceable, being dependent on personal qualifications (Specific Relief Act, 1963, s.14(c)), and no injunction lies to prevent the breach of a contract that would not be specifically enforced (s.41(e)). But s.42 says: notwithstanding s.41(e), where an affirmative agreement is coupled with a negative one, the court may still grant an injunction to perform the negative agreement, provided the plaintiff has performed its own side. A promise not to disclose is a negative agreement. Quote either of s.41(e) or s.42 alone and the law reads wrong; together they say an injunction is available in principle, and what s.42 cannot do is revive a clause s.27 has voided.</w:t>
      </w:r>
    </w:p>
    <w:p>
      <w:pPr>
        <w:pStyle w:val="Heading2"/>
        <w:keepNext/>
        <w:spacing w:after="60" w:before="160"/>
      </w:pPr>
      <w:r>
        <w:rPr>
          <w:rFonts w:ascii="Calibri" w:hAnsi="Calibri"/>
          <w:b/>
          <w:color w:val="1D1D1D"/>
          <w:sz w:val="21"/>
        </w:rPr>
        <w:t>Misconduct under the standing orders</w:t>
      </w:r>
    </w:p>
    <w:p>
      <w:pPr>
        <w:keepNext w:val="0"/>
        <w:spacing w:after="120" w:before="0"/>
      </w:pPr>
      <w:r>
        <w:rPr>
          <w:rFonts w:ascii="Calibri" w:hAnsi="Calibri"/>
          <w:b w:val="0"/>
          <w:i w:val="0"/>
          <w:color w:val="1D1D1D"/>
          <w:sz w:val="20"/>
        </w:rPr>
        <w:t>Where Chapter IV of the IR Code applies, at 300 or more workers today or on any day of the preceding twelve months (s.28(1)), the Model Standing Orders list 'disclosing to an unauthorised person any confidential information in regard to the working or process of the industrial establishment' as misconduct (Schedule B clause 23(5)(s); Schedules A and C clause 24(5)(s)), and a separate secrecy clause forbids taking documents or property out of the premises, or disclosing the manufacturing process, trade secrets and confidential documents, without written permission (Schedule B clause 19; Schedules A and C clause 20). Listed misconduct is dealt with under the standing orders' procedure: a charge sheet, an enquiry, then a penalty. Skipping it is the employer's offence, not only the worker's defence: acting against standing orders finally certified under the Code costs a fine of ₹1,00,000 to ₹2,00,000 (s.86(11)). On our reading that reaches model orders adopted under s.30(3), which deems them certified; whether it reaches model orders that apply only because s.29(2) deems them adopted is not settled. It reaches workers, which leaves out managers and supervisors drawing over ₹18,000 a month (s.2(zr)). For everyone else, and below the threshold, the contract route above is what you have.</w:t>
      </w:r>
    </w:p>
    <w:p>
      <w:pPr>
        <w:pStyle w:val="Heading2"/>
        <w:keepNext/>
        <w:spacing w:after="60" w:before="160"/>
      </w:pPr>
      <w:r>
        <w:rPr>
          <w:rFonts w:ascii="Calibri" w:hAnsi="Calibri"/>
          <w:b/>
          <w:color w:val="1D1D1D"/>
          <w:sz w:val="21"/>
        </w:rPr>
        <w:t>The IT Act: a penalty and an offence, one of them narrow</w:t>
      </w:r>
    </w:p>
    <w:p>
      <w:pPr>
        <w:keepNext w:val="0"/>
        <w:spacing w:after="120" w:before="0"/>
      </w:pPr>
      <w:r>
        <w:rPr>
          <w:rFonts w:ascii="Calibri" w:hAnsi="Calibri"/>
          <w:b w:val="0"/>
          <w:i w:val="0"/>
          <w:color w:val="1D1D1D"/>
          <w:sz w:val="20"/>
        </w:rPr>
        <w:t>Section 72A reaches a person who, 'while providing services under the terms of lawful contract', secured access to material containing 'personal information about another person' and, intending or knowing they are likely to cause wrongful loss or gain, discloses it without consent or 'in breach of a lawful contract'. Since 30-Nov-2023 it is a penalty, not an offence: the Jan Vishwas (Amendment of Provisions) Act, 2023 replaced three years or a ₹5,00,000 fine with 'penalty which may extend to twenty-five lakh rupees', ₹25,00,000, and S.O. 4745(E) brought it into force for the IT Act on that date. An adjudicating officer imposes it (s.46), so on its own it is no ground for a police complaint, and older templates and articles still quote the repealed punishment. Read the words. It reaches personal information, so a leaked customer list, patient record or salary file is in and a leaked drawing or price list is out. The NDA is the lawful contract the section needs, which is why Format 01 has a personal data clause.</w:t>
      </w:r>
    </w:p>
    <w:p>
      <w:pPr>
        <w:keepNext w:val="0"/>
        <w:spacing w:after="120" w:before="0"/>
      </w:pPr>
      <w:r>
        <w:rPr>
          <w:rFonts w:ascii="Calibri" w:hAnsi="Calibri"/>
          <w:b w:val="0"/>
          <w:i w:val="0"/>
          <w:color w:val="1D1D1D"/>
          <w:sz w:val="20"/>
        </w:rPr>
        <w:t>Section 43(b) makes a person who, without the permission of the owner or the person in charge, downloads, copies or extracts data from a computer liable to pay damages by way of compensation, claimed before the adjudicating officer up to ₹5 crore (s.46(1A)), and s.66 makes the same act an offence when done dishonestly or fraudulently: up to three years, or a fine up to ₹5,00,000, or both. An employee copying the customer database to a personal drive on their last day is the case it fits. An offence punishable with three years is bailable (s.77B). Where the person breaching is a company, such as a consultant firm engaged under Format 06, the person in charge is liable with it unless the breach was without their knowledge or they exercised all due diligence (s.85).</w:t>
      </w:r>
    </w:p>
    <w:p>
      <w:pPr>
        <w:keepNext w:val="0"/>
        <w:spacing w:after="160" w:before="0"/>
        <w:ind w:left="216"/>
        <w:shd w:val="clear" w:fill="FFF8E8"/>
      </w:pPr>
      <w:r>
        <w:rPr>
          <w:rFonts w:ascii="Calibri" w:hAnsi="Calibri"/>
          <w:b w:val="0"/>
          <w:i w:val="0"/>
          <w:color w:val="1D1D1D"/>
          <w:sz w:val="20"/>
        </w:rPr>
        <w:t>Order of steps. Preserve the evidence first. Send Format 07. For a worker under standing orders, issue the charge sheet under them separately. Decide on a civil claim with a lawyer, a complaint to the adjudicating officer where s.72A or s.43 fits, and a police complaint only where the facts fit s.66 as worded.</w:t>
      </w:r>
    </w:p>
    <w:p>
      <w:pPr>
        <w:spacing w:after="120"/>
        <w:ind w:left="288"/>
      </w:pPr>
      <w:r>
        <w:rPr>
          <w:rFonts w:ascii="Calibri" w:hAnsi="Calibri"/>
          <w:b/>
          <w:color w:val="0069A4"/>
          <w:sz w:val="17"/>
        </w:rPr>
        <w:t xml:space="preserve">Rests on  </w:t>
      </w:r>
      <w:r>
        <w:rPr>
          <w:rFonts w:ascii="Calibri" w:hAnsi="Calibri"/>
          <w:i/>
          <w:color w:val="565656"/>
          <w:sz w:val="17"/>
        </w:rPr>
        <w:t>Indian Contract Act, 1872, s.73 and s.74; Specific Relief Act, 1963, s.14(c), s.41(e) and s.42; IR Code, 2020, s.2(zr), s.28(1), s.29(2), s.30(3) and s.86(11); Model Standing Orders, 2026; Information Technology Act, 2000, s.43(b), s.46, s.66, s.72A, s.77B and s.85; Jan Vishwas (Amendment of Provisions) Act, 2023, in force for the IT Act by S.O. 4745(E)</w:t>
      </w:r>
    </w:p>
    <w:p>
      <w:r>
        <w:br w:type="page"/>
      </w:r>
    </w:p>
    <w:p>
      <w:pPr>
        <w:pStyle w:val="Heading1"/>
        <w:keepNext/>
        <w:spacing w:after="200" w:before="80"/>
        <w:ind w:left="115"/>
        <w:shd w:val="clear" w:fill="008CDB"/>
      </w:pPr>
      <w:r>
        <w:rPr>
          <w:rFonts w:ascii="Calibri" w:hAnsi="Calibri"/>
          <w:b/>
          <w:color w:val="FFFFFF"/>
          <w:sz w:val="22"/>
        </w:rPr>
        <w:t>5.  PERSONAL DATA IN THE NDA</w:t>
      </w:r>
    </w:p>
    <w:p>
      <w:pPr>
        <w:keepNext w:val="0"/>
        <w:spacing w:after="80" w:before="0"/>
      </w:pPr>
      <w:r>
        <w:rPr>
          <w:rFonts w:ascii="Calibri" w:hAnsi="Calibri"/>
          <w:b w:val="0"/>
          <w:i w:val="0"/>
          <w:color w:val="1D1D1D"/>
          <w:sz w:val="20"/>
        </w:rPr>
        <w:t>Confidential Information usually includes personal data: customers, patients, staff, suppliers. Sections 7 and 8 of the DPDP Act and its penalties come into force on 13-May-2027 (G.S.R. 843(E) of 13-Nov-2025, clause (c): eighteen months from its publication), so these are the duties to draft for now, not ones in force today. Three DPDP Act points reach the agreement.</w:t>
      </w:r>
    </w:p>
    <w:p>
      <w:pPr>
        <w:keepNext w:val="0"/>
        <w:spacing w:after="60" w:before="0"/>
        <w:ind w:left="360"/>
      </w:pPr>
      <w:r>
        <w:rPr>
          <w:rFonts w:ascii="Calibri" w:hAnsi="Calibri"/>
          <w:b w:val="0"/>
          <w:i w:val="0"/>
          <w:color w:val="1D1D1D"/>
          <w:sz w:val="20"/>
        </w:rPr>
        <w:t>•  The duty stays with you. A Data Fiduciary is responsible for complying with the Act 'irrespective of any agreement to the contrary' (s.8(1)). A clause making the employee solely responsible for a breach adds a duty on the employee and removes none from the Company. Format 08 lists it as a clause to fix.</w:t>
      </w:r>
    </w:p>
    <w:p>
      <w:pPr>
        <w:keepNext w:val="0"/>
        <w:spacing w:after="60" w:before="0"/>
        <w:ind w:left="360"/>
      </w:pPr>
      <w:r>
        <w:rPr>
          <w:rFonts w:ascii="Calibri" w:hAnsi="Calibri"/>
          <w:b w:val="0"/>
          <w:i w:val="0"/>
          <w:color w:val="1D1D1D"/>
          <w:sz w:val="20"/>
        </w:rPr>
        <w:t>•  A contractor needs a contract. A Data Processor may be engaged 'for any activity related to offering of goods or services to Data Principals only under a valid contract' (s.8(2)). That covers a consultant handling your customers' or patients' data. For other processing, such as a payroll vendor handling staff data, the section is silent, but s.8(1) still makes you answer for what the processor does, so on our reading the same written terms are the only safe course. Format 06's processing clauses are that contract, not boilerplate. Fill the hours in its breach clause well inside 72: once you are aware of a breach you owe the Board a report within 72 hours (DPDP Rules rule 7(2)(b)), and on our reading the clock does not wait for the consultant to tell you.</w:t>
      </w:r>
    </w:p>
    <w:p>
      <w:pPr>
        <w:keepNext w:val="0"/>
        <w:spacing w:after="60" w:before="0"/>
        <w:ind w:left="360"/>
      </w:pPr>
      <w:r>
        <w:rPr>
          <w:rFonts w:ascii="Calibri" w:hAnsi="Calibri"/>
          <w:b w:val="0"/>
          <w:i w:val="0"/>
          <w:color w:val="1D1D1D"/>
          <w:sz w:val="20"/>
        </w:rPr>
        <w:t>•  Safeguards are the Company's. Reasonable security safeguards to prevent a personal data breach are the Data Fiduciary's duty (s.8(5)), and a failure may cost up to ₹250 crore (the Schedule, item 1), once these sections are in force. The NDA's security clause is one safeguard among the technical ones; it is not the safeguard.</w:t>
      </w:r>
    </w:p>
    <w:p>
      <w:pPr>
        <w:keepNext w:val="0"/>
        <w:spacing w:after="120" w:before="0"/>
      </w:pPr>
      <w:r>
        <w:rPr>
          <w:rFonts w:ascii="Calibri" w:hAnsi="Calibri"/>
          <w:b w:val="0"/>
          <w:i w:val="0"/>
          <w:color w:val="1D1D1D"/>
          <w:sz w:val="20"/>
        </w:rPr>
        <w:t>The employee's own data in the agreement, their name, address and signature, is processed 'for the purposes of employment', a legitimate use needing no consent (s.7(i)). The Rules carrying the detailed duties, rules 3 and 5 to 16, come into force on 13-May-2027 (rule 1(4)). G.S.R. 843(E) also brings in s.44(2) of the Act, which omits section 43A of the IT Act, on that date. Until then section 43A still stands; it binds the employer, not the employee, so the pack does not rely on it. For an employee under eighteen, s.9(1) asks for the verifiable consent of a parent or lawful guardian before a child's personal data is processed, and on our reading the employment use in s.7(i) does not displace it.</w:t>
      </w:r>
    </w:p>
    <w:p>
      <w:pPr>
        <w:spacing w:after="120"/>
        <w:ind w:left="288"/>
      </w:pPr>
      <w:r>
        <w:rPr>
          <w:rFonts w:ascii="Calibri" w:hAnsi="Calibri"/>
          <w:b/>
          <w:color w:val="0069A4"/>
          <w:sz w:val="17"/>
        </w:rPr>
        <w:t xml:space="preserve">Rests on  </w:t>
      </w:r>
      <w:r>
        <w:rPr>
          <w:rFonts w:ascii="Calibri" w:hAnsi="Calibri"/>
          <w:i/>
          <w:color w:val="565656"/>
          <w:sz w:val="17"/>
        </w:rPr>
        <w:t>DPDP Act, 2023, s.7(i), s.8(1), (2) and (5), s.9(1), s.44(2) and the Schedule; G.S.R. 843(E), 13-Nov-2025; DPDP Rules, 2025, rule 1(4) and rule 7(2)(b)</w:t>
      </w:r>
    </w:p>
    <w:p>
      <w:r>
        <w:br w:type="page"/>
      </w:r>
    </w:p>
    <w:p>
      <w:pPr>
        <w:pStyle w:val="Heading1"/>
        <w:keepNext/>
        <w:spacing w:after="200" w:before="80"/>
        <w:ind w:left="115"/>
        <w:shd w:val="clear" w:fill="008CDB"/>
      </w:pPr>
      <w:r>
        <w:rPr>
          <w:rFonts w:ascii="Calibri" w:hAnsi="Calibri"/>
          <w:b/>
          <w:color w:val="FFFFFF"/>
          <w:sz w:val="22"/>
        </w:rPr>
        <w:t>6.  WHO THESE RULES REACH</w:t>
      </w:r>
    </w:p>
    <w:p>
      <w:pPr>
        <w:keepNext w:val="0"/>
        <w:spacing w:after="60" w:before="0"/>
        <w:ind w:left="360"/>
      </w:pPr>
      <w:r>
        <w:rPr>
          <w:rFonts w:ascii="Calibri" w:hAnsi="Calibri"/>
          <w:b w:val="0"/>
          <w:i w:val="0"/>
          <w:color w:val="1D1D1D"/>
          <w:sz w:val="20"/>
        </w:rPr>
        <w:t>•  The Contract Act, the Specific Relief Act, the Copyright Act, the Patents Act and the IT Act: every employer and every employee, whatever the size of the establishment, and the consultant too.</w:t>
      </w:r>
    </w:p>
    <w:p>
      <w:pPr>
        <w:keepNext w:val="0"/>
        <w:spacing w:after="60" w:before="0"/>
        <w:ind w:left="360"/>
      </w:pPr>
      <w:r>
        <w:rPr>
          <w:rFonts w:ascii="Calibri" w:hAnsi="Calibri"/>
          <w:b w:val="0"/>
          <w:i w:val="0"/>
          <w:color w:val="1D1D1D"/>
          <w:sz w:val="20"/>
        </w:rPr>
        <w:t>•  The bar on deducting a penalty from wages: every employee, under the Code on Wages s.18, with no headcount threshold.</w:t>
      </w:r>
    </w:p>
    <w:p>
      <w:pPr>
        <w:keepNext w:val="0"/>
        <w:spacing w:after="60" w:before="0"/>
        <w:ind w:left="360"/>
      </w:pPr>
      <w:r>
        <w:rPr>
          <w:rFonts w:ascii="Calibri" w:hAnsi="Calibri"/>
          <w:b w:val="0"/>
          <w:i w:val="0"/>
          <w:color w:val="1D1D1D"/>
          <w:sz w:val="20"/>
        </w:rPr>
        <w:t>•  Misconduct under the Model Standing Orders: an industrial establishment with 300 or more workers, today or on any day of the preceding twelve months (IR Code s.28(1)), and workers only, which leaves out managers and supervisors drawing over ₹18,000 a month (s.2(zr)). The Centre makes the model orders for every establishment; your own certified orders may word the clause differently.</w:t>
      </w:r>
    </w:p>
    <w:p>
      <w:pPr>
        <w:keepNext w:val="0"/>
        <w:spacing w:after="60" w:before="0"/>
        <w:ind w:left="360"/>
      </w:pPr>
      <w:r>
        <w:rPr>
          <w:rFonts w:ascii="Calibri" w:hAnsi="Calibri"/>
          <w:b w:val="0"/>
          <w:i w:val="0"/>
          <w:color w:val="1D1D1D"/>
          <w:sz w:val="20"/>
        </w:rPr>
        <w:t>•  The DPDP Act: every employer processing digital personal data, once its sections are in force on 13-May-2027.</w:t>
      </w:r>
    </w:p>
    <w:p>
      <w:pPr>
        <w:keepNext w:val="0"/>
        <w:spacing w:after="60" w:before="0"/>
        <w:ind w:left="360"/>
      </w:pPr>
      <w:r>
        <w:rPr>
          <w:rFonts w:ascii="Calibri" w:hAnsi="Calibri"/>
          <w:b w:val="0"/>
          <w:i w:val="0"/>
          <w:color w:val="1D1D1D"/>
          <w:sz w:val="20"/>
        </w:rPr>
        <w:t>•  Signing electronically: a contract formed through electronic means is not unenforceable on that ground (IT Act s.10A). On our reading, a typed name or a click is not the electronic signature the Act recognises, so the pack asks for wet ink or a signature under the Act. The Act does not apply to negotiable instruments other than cheques, powers of attorney, trusts, wills or contracts for immovable property (s.1(4) and the First Schedule), so neither the NDA nor the IP assignment is excluded; but a copyright assignment must be 'signed by the assignor' (Copyright Act s.19(1)), so Format 04 needs a signature, not a click.</w:t>
      </w:r>
    </w:p>
    <w:p>
      <w:pPr>
        <w:keepNext w:val="0"/>
        <w:spacing w:after="60" w:before="0"/>
        <w:ind w:left="360"/>
      </w:pPr>
      <w:r>
        <w:rPr>
          <w:rFonts w:ascii="Calibri" w:hAnsi="Calibri"/>
          <w:b w:val="0"/>
          <w:i w:val="0"/>
          <w:color w:val="1D1D1D"/>
          <w:sz w:val="20"/>
        </w:rPr>
        <w:t>•  Under eighteens and apprentices. Only a person of the age of majority is competent to contract (Contract Act s.11), so on our reading an NDA a minor signs does not bind them: rely on supervision and access controls, and take advice before giving a minor anything Format 03 lists. An apprentice is a trainee and not a worker, and labour laws do not apply to them (Apprentices Act s.18), so the standing orders route is not available. Put the confidentiality and IP terms in the contract of apprenticeship, which a minor apprentice's guardian signs (s.4(1)). The copyright default reaches an apprentice; the patent point does not change.</w:t>
      </w:r>
    </w:p>
    <w:p>
      <w:pPr>
        <w:spacing w:after="120"/>
        <w:ind w:left="288"/>
      </w:pPr>
      <w:r>
        <w:rPr>
          <w:rFonts w:ascii="Calibri" w:hAnsi="Calibri"/>
          <w:b/>
          <w:color w:val="0069A4"/>
          <w:sz w:val="17"/>
        </w:rPr>
        <w:t xml:space="preserve">Rests on  </w:t>
      </w:r>
      <w:r>
        <w:rPr>
          <w:rFonts w:ascii="Calibri" w:hAnsi="Calibri"/>
          <w:i/>
          <w:color w:val="565656"/>
          <w:sz w:val="17"/>
        </w:rPr>
        <w:t>Code on Wages, 2019, s.18; IR Code, 2020, s.2(zr) and s.28(1); DPDP Act, 2023, s.3; Information Technology Act, 2000, s.10A, s.1(4) and the First Schedule; Indian Contract Act, 1872, s.11; Apprentices Act, 1961, s.4(1) and s.18; Copyright Act, 1957, s.17(c) and s.19(1)</w:t>
      </w:r>
    </w:p>
    <w:p>
      <w:r>
        <w:br w:type="page"/>
      </w:r>
    </w:p>
    <w:p>
      <w:pPr>
        <w:pStyle w:val="Heading1"/>
        <w:keepNext/>
        <w:spacing w:after="200" w:before="80"/>
        <w:ind w:left="115"/>
        <w:shd w:val="clear" w:fill="008CDB"/>
      </w:pPr>
      <w:r>
        <w:rPr>
          <w:rFonts w:ascii="Calibri" w:hAnsi="Calibri"/>
          <w:b/>
          <w:color w:val="FFFFFF"/>
          <w:sz w:val="22"/>
        </w:rPr>
        <w:t>7.  EIGHT FORMATS</w:t>
      </w:r>
    </w:p>
    <w:p>
      <w:pPr>
        <w:keepNext w:val="0"/>
        <w:spacing w:after="160" w:before="0"/>
      </w:pPr>
      <w:r>
        <w:rPr>
          <w:rFonts w:ascii="Calibri" w:hAnsi="Calibri"/>
          <w:b w:val="0"/>
          <w:i w:val="0"/>
          <w:color w:val="565656"/>
          <w:sz w:val="20"/>
        </w:rPr>
        <w:t>Everything in [CAPITALS] is yours to fill or delete. Where a bracket offers choices split by '/', keep one.</w:t>
      </w:r>
    </w:p>
    <w:p>
      <w:pPr>
        <w:pStyle w:val="Heading1"/>
        <w:keepNext/>
        <w:spacing w:after="200" w:before="80"/>
        <w:ind w:left="115"/>
        <w:shd w:val="clear" w:fill="0069A4"/>
      </w:pPr>
      <w:r>
        <w:rPr>
          <w:rFonts w:ascii="Calibri" w:hAnsi="Calibri"/>
          <w:b/>
          <w:color w:val="FFFFFF"/>
          <w:sz w:val="20"/>
        </w:rPr>
        <w:t>FORMAT 01  ·  EMPLOYEE NON-DISCLOSURE AGREEMENT</w:t>
      </w:r>
    </w:p>
    <w:p>
      <w:pPr>
        <w:keepNext w:val="0"/>
        <w:spacing w:after="120" w:before="0"/>
        <w:ind w:left="144"/>
        <w:shd w:val="clear" w:fill="F4FAFE"/>
      </w:pPr>
      <w:r>
        <w:rPr>
          <w:rFonts w:ascii="Calibri" w:hAnsi="Calibri"/>
          <w:b w:val="0"/>
          <w:i/>
          <w:color w:val="565656"/>
          <w:sz w:val="18"/>
        </w:rPr>
        <w:t>Note for HR, delete before sending: The standalone agreement, for a new joiner at the same time as the appointment letter, or for an existing employee. It has no non-compete and no penalty sum, on purpose: section 2 says why. Fill Format 03 first and attach it as Schedule 1; attach Format 04 as Schedule 2 if the role creates work or inventions. Sign it in wet ink or with an electronic signature the IT Act recognises, and give the employee a signed copy. To fill it: the date at the top is the date both sign; for an existing employee, the appointment letter date is their original letter's; no employee codes yet, delete those words. Stamp duty is a State matter: section 9 says what to do.</w:t>
      </w:r>
    </w:p>
    <w:p>
      <w:pPr>
        <w:keepNext w:val="0"/>
        <w:spacing w:after="120" w:before="0"/>
        <w:ind w:left="144"/>
      </w:pPr>
      <w:r>
        <w:rPr>
          <w:rFonts w:ascii="Calibri" w:hAnsi="Calibri"/>
          <w:b w:val="0"/>
          <w:i/>
          <w:color w:val="565656"/>
          <w:sz w:val="16"/>
        </w:rPr>
        <w:t>The agreement starts below.</w:t>
      </w:r>
    </w:p>
    <w:p>
      <w:pPr>
        <w:keepNext w:val="0"/>
        <w:spacing w:after="200" w:before="0"/>
      </w:pPr>
      <w:r>
        <w:rPr>
          <w:rFonts w:ascii="Calibri" w:hAnsi="Calibri"/>
          <w:b w:val="0"/>
          <w:i w:val="0"/>
          <w:color w:val="565656"/>
          <w:sz w:val="18"/>
        </w:rPr>
        <w:t>[COMPANY LETTERHEAD]</w:t>
      </w:r>
    </w:p>
    <w:p>
      <w:pPr>
        <w:keepNext w:val="0"/>
        <w:spacing w:after="100" w:before="0"/>
      </w:pPr>
      <w:r>
        <w:rPr>
          <w:rFonts w:ascii="Calibri" w:hAnsi="Calibri"/>
          <w:b/>
          <w:i w:val="0"/>
          <w:color w:val="1D1D1D"/>
          <w:sz w:val="20"/>
        </w:rPr>
        <w:t>EMPLOYEE NON-DISCLOSURE AGREEMENT</w:t>
      </w:r>
    </w:p>
    <w:p>
      <w:pPr>
        <w:keepNext w:val="0"/>
        <w:spacing w:after="100" w:before="0"/>
      </w:pPr>
      <w:r>
        <w:rPr>
          <w:rFonts w:ascii="Calibri" w:hAnsi="Calibri"/>
          <w:b w:val="0"/>
          <w:i w:val="0"/>
          <w:color w:val="1D1D1D"/>
          <w:sz w:val="20"/>
        </w:rPr>
        <w:t>This agreement is made on [DD-MMM-YYYY] between [COMPANY NAME], [REGISTERED ADDRESS] (the Company) and [EMPLOYEE NAME], [EMPLOYEE ADDRESS], employee code [EMPLOYEE CODE] (the Employee).</w:t>
      </w:r>
    </w:p>
    <w:p>
      <w:pPr>
        <w:keepNext w:val="0"/>
        <w:spacing w:after="100" w:before="0"/>
      </w:pPr>
      <w:r>
        <w:rPr>
          <w:rFonts w:ascii="Calibri" w:hAnsi="Calibri"/>
          <w:b w:val="0"/>
          <w:i w:val="0"/>
          <w:color w:val="1D1D1D"/>
          <w:sz w:val="20"/>
        </w:rPr>
        <w:t>1. Purpose. The Employee is employed as [DESIGNATION] under the appointment letter dated [APPOINTMENT LETTER DATE] and will receive Confidential Information in the course of that employment. This agreement protects that information. It does not restrict the Employee's right to work after the employment ends: the Employee may then work for any employer, in any business, without taking or using Confidential Information.</w:t>
      </w:r>
    </w:p>
    <w:p>
      <w:pPr>
        <w:keepNext w:val="0"/>
        <w:spacing w:after="100" w:before="0"/>
      </w:pPr>
      <w:r>
        <w:rPr>
          <w:rFonts w:ascii="Calibri" w:hAnsi="Calibri"/>
          <w:b w:val="0"/>
          <w:i w:val="0"/>
          <w:color w:val="1D1D1D"/>
          <w:sz w:val="20"/>
        </w:rPr>
        <w:t>2. Confidential Information means the categories of information listed in Schedule 1, in any form, electronic or physical, whether marked confidential or not. It does not include anything in the carve-outs in Schedule 1, and it does not include the Employee's general knowledge, skill and experience, including what they learn by doing the job.</w:t>
      </w:r>
    </w:p>
    <w:p>
      <w:pPr>
        <w:keepNext w:val="0"/>
        <w:spacing w:after="100" w:before="0"/>
      </w:pPr>
      <w:r>
        <w:rPr>
          <w:rFonts w:ascii="Calibri" w:hAnsi="Calibri"/>
          <w:b w:val="0"/>
          <w:i w:val="0"/>
          <w:color w:val="1D1D1D"/>
          <w:sz w:val="20"/>
        </w:rPr>
        <w:t>3. Duties. The Employee will: (a) use Confidential Information only for the Company's work; (b) not disclose it to anyone outside the Company, or to anyone inside the Company who does not need it for their work, without the written permission of [AUTHORISING ROLE, FOR EXAMPLE A DIRECTOR]; (c) not copy, download, extract or remove it from the Company's premises or systems except as the work requires; (d) keep it secure, following the Company's information security rules as issued from time to time; and (e) report any loss, leak or suspected leak to [CONTACT ROLE, FOR EXAMPLE THE REPORTING MANAGER] the same day.</w:t>
      </w:r>
    </w:p>
    <w:p>
      <w:pPr>
        <w:keepNext w:val="0"/>
        <w:spacing w:after="100" w:before="0"/>
      </w:pPr>
      <w:r>
        <w:rPr>
          <w:rFonts w:ascii="Calibri" w:hAnsi="Calibri"/>
          <w:b w:val="0"/>
          <w:i w:val="0"/>
          <w:color w:val="1D1D1D"/>
          <w:sz w:val="20"/>
        </w:rPr>
        <w:t>4. Personal data. Where Confidential Information includes personal data of customers, staff, patients, suppliers or anyone else, the Employee will handle it only as instructed and only for the purpose the Company holds it for. The Employee's own personal data in this agreement is processed for the purposes of employment.</w:t>
      </w:r>
    </w:p>
    <w:p>
      <w:pPr>
        <w:keepNext w:val="0"/>
        <w:spacing w:after="100" w:before="0"/>
      </w:pPr>
      <w:r>
        <w:rPr>
          <w:rFonts w:ascii="Calibri" w:hAnsi="Calibri"/>
          <w:b w:val="0"/>
          <w:i w:val="0"/>
          <w:color w:val="1D1D1D"/>
          <w:sz w:val="20"/>
        </w:rPr>
        <w:t>5. Permitted disclosure. Nothing in this agreement stops the Employee: (a) disclosing information where a law requires it; (b) giving information to, or making a complaint the law entitles them to make to, a court, tribunal, the police, a regulator, a labour authority or a committee constituted under a law, including the Internal Committee or Local Committee under the Sexual Harassment of Women at Workplace (Prevention, Prohibition and Redressal) Act, 2013; (c) raising a concern through the Company's whistle-blower or vigil mechanism; (d) consulting their own legal adviser in confidence; or (e) keeping their own payslips, appointment letter, tax certificates and other records of their own pay and terms, and showing them to anyone, such as a bank or a future employer. Information disclosed under this clause goes only to the person entitled to receive it.</w:t>
      </w:r>
    </w:p>
    <w:p>
      <w:pPr>
        <w:keepNext w:val="0"/>
        <w:spacing w:after="100" w:before="0"/>
      </w:pPr>
      <w:r>
        <w:rPr>
          <w:rFonts w:ascii="Calibri" w:hAnsi="Calibri"/>
          <w:b w:val="0"/>
          <w:i w:val="0"/>
          <w:color w:val="1D1D1D"/>
          <w:sz w:val="20"/>
        </w:rPr>
        <w:t>6. Return. On the last working day, or earlier on request, the Employee will return every document, device and copy holding Confidential Information, delete what cannot be returned, and sign the Company's exit acknowledgement.</w:t>
      </w:r>
    </w:p>
    <w:p>
      <w:pPr>
        <w:keepNext w:val="0"/>
        <w:spacing w:after="100" w:before="0"/>
      </w:pPr>
      <w:r>
        <w:rPr>
          <w:rFonts w:ascii="Calibri" w:hAnsi="Calibri"/>
          <w:b w:val="0"/>
          <w:i w:val="0"/>
          <w:color w:val="1D1D1D"/>
          <w:sz w:val="20"/>
        </w:rPr>
        <w:t>7. Duration. The duties in clause 3 apply during the employment and continue after it ends for as long as the information remains confidential and is not in the public domain through no fault of the Employee.</w:t>
      </w:r>
    </w:p>
    <w:p>
      <w:pPr>
        <w:keepNext w:val="0"/>
        <w:spacing w:after="100" w:before="0"/>
      </w:pPr>
      <w:r>
        <w:rPr>
          <w:rFonts w:ascii="Calibri" w:hAnsi="Calibri"/>
          <w:b w:val="0"/>
          <w:i w:val="0"/>
          <w:color w:val="1D1D1D"/>
          <w:sz w:val="20"/>
        </w:rPr>
        <w:t>8. Non-solicitation. During the employment, the Employee will not induce any employee or customer of the Company to leave it. [OPTIONAL, SEE SECTION 9 OF THE GUIDE BEFORE KEEPING; IF IN DOUBT, DELETE THIS SENTENCE: For [MONTHS] months after the employment ends, the Employee will not actively induce an employee of the Company to leave it.]</w:t>
      </w:r>
    </w:p>
    <w:p>
      <w:pPr>
        <w:keepNext w:val="0"/>
        <w:spacing w:after="100" w:before="0"/>
      </w:pPr>
      <w:r>
        <w:rPr>
          <w:rFonts w:ascii="Calibri" w:hAnsi="Calibri"/>
          <w:b w:val="0"/>
          <w:i w:val="0"/>
          <w:color w:val="1D1D1D"/>
          <w:sz w:val="20"/>
        </w:rPr>
        <w:t>9. Remedies. A breach may cause the Company loss that money cannot fully repair, and the Company may seek an injunction restraining further disclosure as well as compensation for the loss caused. The Company will not deduct any sum under this agreement from the Employee's wages.</w:t>
      </w:r>
    </w:p>
    <w:p>
      <w:pPr>
        <w:keepNext w:val="0"/>
        <w:spacing w:after="100" w:before="0"/>
      </w:pPr>
      <w:r>
        <w:rPr>
          <w:rFonts w:ascii="Calibri" w:hAnsi="Calibri"/>
          <w:b w:val="0"/>
          <w:i w:val="0"/>
          <w:color w:val="1D1D1D"/>
          <w:sz w:val="20"/>
        </w:rPr>
        <w:t>10. Standing orders. Where the Company's certified or model standing orders apply to the Employee, this agreement is in addition to them, and a disclosure listed there as misconduct is dealt with under them.</w:t>
      </w:r>
    </w:p>
    <w:p>
      <w:pPr>
        <w:keepNext w:val="0"/>
        <w:spacing w:after="100" w:before="0"/>
      </w:pPr>
      <w:r>
        <w:rPr>
          <w:rFonts w:ascii="Calibri" w:hAnsi="Calibri"/>
          <w:b w:val="0"/>
          <w:i w:val="0"/>
          <w:color w:val="1D1D1D"/>
          <w:sz w:val="20"/>
        </w:rPr>
        <w:t>11. Whole agreement. This agreement, with its schedules and the appointment letter, is the whole agreement on confidentiality. It is governed by Indian law. The courts at [CITY] have jurisdiction.</w:t>
      </w:r>
    </w:p>
    <w:p>
      <w:pPr>
        <w:keepNext w:val="0"/>
        <w:spacing w:after="100" w:before="0"/>
      </w:pPr>
      <w:r>
        <w:rPr>
          <w:rFonts w:ascii="Calibri" w:hAnsi="Calibri"/>
          <w:b w:val="0"/>
          <w:i w:val="0"/>
          <w:color w:val="1D1D1D"/>
          <w:sz w:val="20"/>
        </w:rPr>
        <w:t>12. Copies. Two signed originals, one for each party.</w:t>
      </w:r>
    </w:p>
    <w:p>
      <w:pPr>
        <w:keepNext w:val="0"/>
        <w:spacing w:after="100" w:before="0"/>
      </w:pPr>
      <w:r>
        <w:rPr>
          <w:rFonts w:ascii="Calibri" w:hAnsi="Calibri"/>
          <w:b w:val="0"/>
          <w:i w:val="0"/>
          <w:color w:val="1D1D1D"/>
          <w:sz w:val="20"/>
        </w:rPr>
        <w:t>Schedule 1: Confidential Information and carve-outs (Format 03).</w:t>
      </w:r>
    </w:p>
    <w:p>
      <w:pPr>
        <w:keepNext w:val="0"/>
        <w:spacing w:after="100" w:before="0"/>
      </w:pPr>
      <w:r>
        <w:rPr>
          <w:rFonts w:ascii="Calibri" w:hAnsi="Calibri"/>
          <w:b w:val="0"/>
          <w:i w:val="0"/>
          <w:color w:val="1D1D1D"/>
          <w:sz w:val="20"/>
        </w:rPr>
        <w:t>Schedule 2: Assignment of intellectual property (Format 04), if attached.</w:t>
      </w:r>
    </w:p>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For [COMPANY NAME]: ______________________   [NAME], [DESIGNATION]   Date: ______________</w:t>
      </w:r>
    </w:p>
    <w:p>
      <w:pPr>
        <w:keepNext w:val="0"/>
        <w:spacing w:after="120" w:before="0"/>
      </w:pPr>
      <w:r>
        <w:rPr>
          <w:rFonts w:ascii="Calibri" w:hAnsi="Calibri"/>
          <w:b w:val="0"/>
          <w:i w:val="0"/>
          <w:color w:val="1D1D1D"/>
          <w:sz w:val="20"/>
        </w:rPr>
        <w:t>The Employee: ______________________   [EMPLOYEE NAME]   Date: ______________</w:t>
      </w:r>
    </w:p>
    <w:p>
      <w:pPr>
        <w:keepNext w:val="0"/>
        <w:spacing w:after="120" w:before="0"/>
      </w:pPr>
      <w:r>
        <w:rPr>
          <w:rFonts w:ascii="Calibri" w:hAnsi="Calibri"/>
          <w:b w:val="0"/>
          <w:i w:val="0"/>
          <w:color w:val="1D1D1D"/>
          <w:sz w:val="20"/>
        </w:rPr>
        <w:t>Witness: ______________________   [NAME]   Date: ______________</w:t>
      </w:r>
    </w:p>
    <w:p>
      <w:r>
        <w:br w:type="page"/>
      </w:r>
    </w:p>
    <w:p>
      <w:pPr>
        <w:pStyle w:val="Heading1"/>
        <w:keepNext/>
        <w:spacing w:after="200" w:before="80"/>
        <w:ind w:left="115"/>
        <w:shd w:val="clear" w:fill="0069A4"/>
      </w:pPr>
      <w:r>
        <w:rPr>
          <w:rFonts w:ascii="Calibri" w:hAnsi="Calibri"/>
          <w:b/>
          <w:color w:val="FFFFFF"/>
          <w:sz w:val="20"/>
        </w:rPr>
        <w:t>FORMAT 02  ·  CONFIDENTIALITY CLAUSES FOR AN APPOINTMENT LETTER</w:t>
      </w:r>
    </w:p>
    <w:p>
      <w:pPr>
        <w:keepNext w:val="0"/>
        <w:spacing w:after="120" w:before="0"/>
        <w:ind w:left="144"/>
        <w:shd w:val="clear" w:fill="F4FAFE"/>
      </w:pPr>
      <w:r>
        <w:rPr>
          <w:rFonts w:ascii="Calibri" w:hAnsi="Calibri"/>
          <w:b w:val="0"/>
          <w:i/>
          <w:color w:val="565656"/>
          <w:sz w:val="18"/>
        </w:rPr>
        <w:t>Note for HR, delete before sending: The same duties as Format 01, cut to five clauses to paste into the appointment letter. The appointment letter is the compulsory document; the clauses ride on it. Attach Format 03 as a schedule to the letter. If the role creates work or inventions, attach Format 04 too and keep 'THE APPOINTMENT LETTER' in its heading.</w:t>
      </w:r>
    </w:p>
    <w:p>
      <w:pPr>
        <w:keepNext w:val="0"/>
        <w:spacing w:after="120" w:before="0"/>
        <w:ind w:left="144"/>
      </w:pPr>
      <w:r>
        <w:rPr>
          <w:rFonts w:ascii="Calibri" w:hAnsi="Calibri"/>
          <w:b w:val="0"/>
          <w:i/>
          <w:color w:val="565656"/>
          <w:sz w:val="16"/>
        </w:rPr>
        <w:t>The clause set starts below.</w:t>
      </w:r>
    </w:p>
    <w:p>
      <w:pPr>
        <w:keepNext w:val="0"/>
        <w:spacing w:after="120" w:before="0"/>
      </w:pPr>
      <w:r>
        <w:rPr>
          <w:rFonts w:ascii="Calibri" w:hAnsi="Calibri"/>
          <w:b w:val="0"/>
          <w:i w:val="0"/>
          <w:color w:val="1D1D1D"/>
          <w:sz w:val="20"/>
        </w:rPr>
        <w:t>Paste under the heading 'Confidentiality' in the appointment letter, numbered to follow its clauses.</w:t>
      </w:r>
    </w:p>
    <w:p>
      <w:pPr>
        <w:pStyle w:val="Heading2"/>
        <w:keepNext/>
        <w:spacing w:after="60" w:before="160"/>
      </w:pPr>
      <w:r>
        <w:rPr>
          <w:rFonts w:ascii="Calibri" w:hAnsi="Calibri"/>
          <w:b/>
          <w:color w:val="1D1D1D"/>
          <w:sz w:val="21"/>
        </w:rPr>
        <w:t>Confidentiality</w:t>
      </w:r>
    </w:p>
    <w:p>
      <w:pPr>
        <w:keepNext w:val="0"/>
        <w:spacing w:after="120" w:before="0"/>
      </w:pPr>
      <w:r>
        <w:rPr>
          <w:rFonts w:ascii="Calibri" w:hAnsi="Calibri"/>
          <w:b w:val="0"/>
          <w:i w:val="0"/>
          <w:color w:val="1D1D1D"/>
          <w:sz w:val="20"/>
        </w:rPr>
        <w:t>You will receive Confidential Information, meaning the categories listed in the attached schedule, in any form. You will use it only for the Company's work, not disclose it to anyone who does not need it, not copy or remove it except as the work requires, and report any leak the same day. This clause does not cover your general knowledge, skill and experience, or your own pay, payslips and terms of employment, which are yours to keep and show to anyone. Nothing in it stops you disclosing information where a law requires it, complaining to a court, tribunal, the police, a regulator, a labour authority or a committee constituted under a law, including the Internal Committee, or consulting your own legal adviser in confidence.</w:t>
      </w:r>
    </w:p>
    <w:p>
      <w:pPr>
        <w:pStyle w:val="Heading2"/>
        <w:keepNext/>
        <w:spacing w:after="60" w:before="160"/>
      </w:pPr>
      <w:r>
        <w:rPr>
          <w:rFonts w:ascii="Calibri" w:hAnsi="Calibri"/>
          <w:b/>
          <w:color w:val="1D1D1D"/>
          <w:sz w:val="21"/>
        </w:rPr>
        <w:t>After employment</w:t>
      </w:r>
    </w:p>
    <w:p>
      <w:pPr>
        <w:keepNext w:val="0"/>
        <w:spacing w:after="120" w:before="0"/>
      </w:pPr>
      <w:r>
        <w:rPr>
          <w:rFonts w:ascii="Calibri" w:hAnsi="Calibri"/>
          <w:b w:val="0"/>
          <w:i w:val="0"/>
          <w:color w:val="1D1D1D"/>
          <w:sz w:val="20"/>
        </w:rPr>
        <w:t>The confidentiality duty continues after your employment ends, for as long as the information remains confidential. Nothing in this letter restricts where you may work after leaving.</w:t>
      </w:r>
    </w:p>
    <w:p>
      <w:pPr>
        <w:pStyle w:val="Heading2"/>
        <w:keepNext/>
        <w:spacing w:after="60" w:before="160"/>
      </w:pPr>
      <w:r>
        <w:rPr>
          <w:rFonts w:ascii="Calibri" w:hAnsi="Calibri"/>
          <w:b/>
          <w:color w:val="1D1D1D"/>
          <w:sz w:val="21"/>
        </w:rPr>
        <w:t>Personal data</w:t>
      </w:r>
    </w:p>
    <w:p>
      <w:pPr>
        <w:keepNext w:val="0"/>
        <w:spacing w:after="120" w:before="0"/>
      </w:pPr>
      <w:r>
        <w:rPr>
          <w:rFonts w:ascii="Calibri" w:hAnsi="Calibri"/>
          <w:b w:val="0"/>
          <w:i w:val="0"/>
          <w:color w:val="1D1D1D"/>
          <w:sz w:val="20"/>
        </w:rPr>
        <w:t>Personal data you handle for the Company is used only as instructed and only for the purpose the Company holds it for. Your own personal data is processed for the purposes of employment.</w:t>
      </w:r>
    </w:p>
    <w:p>
      <w:pPr>
        <w:pStyle w:val="Heading2"/>
        <w:keepNext/>
        <w:spacing w:after="60" w:before="160"/>
      </w:pPr>
      <w:r>
        <w:rPr>
          <w:rFonts w:ascii="Calibri" w:hAnsi="Calibri"/>
          <w:b/>
          <w:color w:val="1D1D1D"/>
          <w:sz w:val="21"/>
        </w:rPr>
        <w:t>Return on leaving</w:t>
      </w:r>
    </w:p>
    <w:p>
      <w:pPr>
        <w:keepNext w:val="0"/>
        <w:spacing w:after="120" w:before="0"/>
      </w:pPr>
      <w:r>
        <w:rPr>
          <w:rFonts w:ascii="Calibri" w:hAnsi="Calibri"/>
          <w:b w:val="0"/>
          <w:i w:val="0"/>
          <w:color w:val="1D1D1D"/>
          <w:sz w:val="20"/>
        </w:rPr>
        <w:t>On your last working day you will return every document, device and copy holding Confidential Information, delete what cannot be returned, and sign the exit acknowledgement.</w:t>
      </w:r>
    </w:p>
    <w:p>
      <w:pPr>
        <w:pStyle w:val="Heading2"/>
        <w:keepNext/>
        <w:spacing w:after="60" w:before="160"/>
      </w:pPr>
      <w:r>
        <w:rPr>
          <w:rFonts w:ascii="Calibri" w:hAnsi="Calibri"/>
          <w:b/>
          <w:color w:val="1D1D1D"/>
          <w:sz w:val="21"/>
        </w:rPr>
        <w:t>Remedies</w:t>
      </w:r>
    </w:p>
    <w:p>
      <w:pPr>
        <w:keepNext w:val="0"/>
        <w:spacing w:after="120" w:before="0"/>
      </w:pPr>
      <w:r>
        <w:rPr>
          <w:rFonts w:ascii="Calibri" w:hAnsi="Calibri"/>
          <w:b w:val="0"/>
          <w:i w:val="0"/>
          <w:color w:val="1D1D1D"/>
          <w:sz w:val="20"/>
        </w:rPr>
        <w:t>A breach may be restrained by a court and may give rise to a claim for the loss caused. No sum will be deducted from your wages under this clause. Where standing orders apply to you, a disclosure they list as misconduct is dealt with under them.</w:t>
      </w:r>
    </w:p>
    <w:p>
      <w:r>
        <w:br w:type="page"/>
      </w:r>
    </w:p>
    <w:p>
      <w:pPr>
        <w:pStyle w:val="Heading1"/>
        <w:keepNext/>
        <w:spacing w:after="200" w:before="80"/>
        <w:ind w:left="115"/>
        <w:shd w:val="clear" w:fill="0069A4"/>
      </w:pPr>
      <w:r>
        <w:rPr>
          <w:rFonts w:ascii="Calibri" w:hAnsi="Calibri"/>
          <w:b/>
          <w:color w:val="FFFFFF"/>
          <w:sz w:val="20"/>
        </w:rPr>
        <w:t>FORMAT 03  ·  SCHEDULE OF CONFIDENTIAL INFORMATION</w:t>
      </w:r>
    </w:p>
    <w:p>
      <w:pPr>
        <w:keepNext w:val="0"/>
        <w:spacing w:after="120" w:before="0"/>
        <w:ind w:left="144"/>
        <w:shd w:val="clear" w:fill="F4FAFE"/>
      </w:pPr>
      <w:r>
        <w:rPr>
          <w:rFonts w:ascii="Calibri" w:hAnsi="Calibri"/>
          <w:b w:val="0"/>
          <w:i/>
          <w:color w:val="565656"/>
          <w:sz w:val="18"/>
        </w:rPr>
        <w:t>Note for HR, delete before sending: The schedule is what makes the agreement enforceable in practice: a court can restrain the disclosure of a named category and cannot restrain 'everything'. Keep the carve-outs; they are what separates this from a non-compete. Do this: keep one master copy and cut it per role. Delete the rows the role never sees and write the examples it actually handles: a developer, repositories, credentials and the product roadmap; a sales executive, the price list, discount limits and the pipeline; a plant supervisor, process sheets and drawings; a nurse or front desk, patient records; accounts, payroll and bank details. Keep every carve-out for every role.</w:t>
      </w:r>
    </w:p>
    <w:p>
      <w:pPr>
        <w:keepNext w:val="0"/>
        <w:spacing w:after="120" w:before="0"/>
        <w:ind w:left="144"/>
      </w:pPr>
      <w:r>
        <w:rPr>
          <w:rFonts w:ascii="Calibri" w:hAnsi="Calibri"/>
          <w:b w:val="0"/>
          <w:i/>
          <w:color w:val="565656"/>
          <w:sz w:val="16"/>
        </w:rPr>
        <w:t>The schedule starts below.</w:t>
      </w:r>
    </w:p>
    <w:p>
      <w:pPr>
        <w:keepNext w:val="0"/>
        <w:spacing w:after="120" w:before="0"/>
      </w:pPr>
      <w:r>
        <w:rPr>
          <w:rFonts w:ascii="Calibri" w:hAnsi="Calibri"/>
          <w:b/>
          <w:i w:val="0"/>
          <w:color w:val="1D1D1D"/>
          <w:sz w:val="22"/>
        </w:rPr>
        <w:t>SCHEDULE 1: CONFIDENTIAL INFORMATION</w:t>
      </w:r>
    </w:p>
    <w:p>
      <w:pPr>
        <w:keepNext w:val="0"/>
        <w:spacing w:after="120" w:before="0"/>
      </w:pPr>
      <w:r>
        <w:rPr>
          <w:rFonts w:ascii="Calibri" w:hAnsi="Calibri"/>
          <w:b w:val="0"/>
          <w:i w:val="0"/>
          <w:color w:val="1D1D1D"/>
          <w:sz w:val="20"/>
        </w:rPr>
        <w:t>For: [EMPLOYEE NAME], [DESIGNATION]    Attached to: [THE AGREEMENT / THE APPOINTMENT LETTER] dated [DD-MMM-YYYY]</w:t>
      </w:r>
    </w:p>
    <w:p>
      <w:pPr>
        <w:keepNext w:val="0"/>
        <w:spacing w:after="80" w:before="0"/>
      </w:pPr>
      <w:r>
        <w:rPr>
          <w:rFonts w:ascii="Calibri" w:hAnsi="Calibri"/>
          <w:b w:val="0"/>
          <w:i w:val="0"/>
          <w:color w:val="1D1D1D"/>
          <w:sz w:val="20"/>
        </w:rPr>
        <w:t>Confidential Information means information in these categories, in any form:</w:t>
      </w:r>
    </w:p>
    <w:tbl>
      <w:tblPr>
        <w:tblStyle w:val="TableGrid"/>
        <w:tblW w:type="auto" w:w="0"/>
        <w:tblLook w:firstColumn="1" w:firstRow="1" w:lastColumn="0" w:lastRow="0" w:noHBand="0" w:noVBand="1" w:val="04A0"/>
      </w:tblPr>
      <w:tblGrid>
        <w:gridCol w:w="4945"/>
        <w:gridCol w:w="4945"/>
      </w:tblGrid>
      <w:tr>
        <w:tc>
          <w:tcPr>
            <w:tcW w:type="dxa" w:w="3168"/>
          </w:tcPr>
          <w:p>
            <w:pPr>
              <w:spacing w:after="40"/>
              <w:shd w:val="clear" w:fill="E8F4FC"/>
            </w:pPr>
            <w:r/>
            <w:r>
              <w:rPr>
                <w:rFonts w:ascii="Calibri" w:hAnsi="Calibri"/>
                <w:b/>
                <w:color w:val="0069A4"/>
                <w:sz w:val="19"/>
              </w:rPr>
              <w:t>Category</w:t>
            </w:r>
          </w:p>
        </w:tc>
        <w:tc>
          <w:tcPr>
            <w:tcW w:type="dxa" w:w="6192"/>
          </w:tcPr>
          <w:p>
            <w:pPr>
              <w:spacing w:after="40"/>
              <w:shd w:val="clear" w:fill="E8F4FC"/>
            </w:pPr>
            <w:r/>
            <w:r>
              <w:rPr>
                <w:rFonts w:ascii="Calibri" w:hAnsi="Calibri"/>
                <w:b/>
                <w:color w:val="0069A4"/>
                <w:sz w:val="19"/>
              </w:rPr>
              <w:t>Examples (fill in your own)</w:t>
            </w:r>
          </w:p>
        </w:tc>
      </w:tr>
      <w:tr>
        <w:tc>
          <w:tcPr>
            <w:tcW w:type="dxa" w:w="3168"/>
          </w:tcPr>
          <w:p>
            <w:pPr>
              <w:spacing w:after="40"/>
            </w:pPr>
            <w:r/>
            <w:r>
              <w:rPr>
                <w:rFonts w:ascii="Calibri" w:hAnsi="Calibri"/>
                <w:color w:val="565656"/>
                <w:sz w:val="19"/>
              </w:rPr>
              <w:t>Customers and suppliers</w:t>
            </w:r>
          </w:p>
        </w:tc>
        <w:tc>
          <w:tcPr>
            <w:tcW w:type="dxa" w:w="6192"/>
          </w:tcPr>
          <w:p>
            <w:pPr>
              <w:spacing w:after="40"/>
            </w:pPr>
            <w:r/>
            <w:r>
              <w:rPr>
                <w:rFonts w:ascii="Calibri" w:hAnsi="Calibri"/>
                <w:color w:val="565656"/>
                <w:sz w:val="19"/>
              </w:rPr>
              <w:t>[Names, contacts, contract terms, prices, margins, order history]</w:t>
            </w:r>
          </w:p>
        </w:tc>
      </w:tr>
      <w:tr>
        <w:tc>
          <w:tcPr>
            <w:tcW w:type="dxa" w:w="3168"/>
          </w:tcPr>
          <w:p>
            <w:pPr>
              <w:spacing w:after="40"/>
            </w:pPr>
            <w:r/>
            <w:r>
              <w:rPr>
                <w:rFonts w:ascii="Calibri" w:hAnsi="Calibri"/>
                <w:color w:val="565656"/>
                <w:sz w:val="19"/>
              </w:rPr>
              <w:t>Products and processes</w:t>
            </w:r>
          </w:p>
        </w:tc>
        <w:tc>
          <w:tcPr>
            <w:tcW w:type="dxa" w:w="6192"/>
          </w:tcPr>
          <w:p>
            <w:pPr>
              <w:spacing w:after="40"/>
            </w:pPr>
            <w:r/>
            <w:r>
              <w:rPr>
                <w:rFonts w:ascii="Calibri" w:hAnsi="Calibri"/>
                <w:color w:val="565656"/>
                <w:sz w:val="19"/>
              </w:rPr>
              <w:t>[Formulations, process sheets, drawings, specifications, quality records]</w:t>
            </w:r>
          </w:p>
        </w:tc>
      </w:tr>
      <w:tr>
        <w:tc>
          <w:tcPr>
            <w:tcW w:type="dxa" w:w="3168"/>
          </w:tcPr>
          <w:p>
            <w:pPr>
              <w:spacing w:after="40"/>
            </w:pPr>
            <w:r/>
            <w:r>
              <w:rPr>
                <w:rFonts w:ascii="Calibri" w:hAnsi="Calibri"/>
                <w:color w:val="565656"/>
                <w:sz w:val="19"/>
              </w:rPr>
              <w:t>Technology</w:t>
            </w:r>
          </w:p>
        </w:tc>
        <w:tc>
          <w:tcPr>
            <w:tcW w:type="dxa" w:w="6192"/>
          </w:tcPr>
          <w:p>
            <w:pPr>
              <w:spacing w:after="40"/>
            </w:pPr>
            <w:r/>
            <w:r>
              <w:rPr>
                <w:rFonts w:ascii="Calibri" w:hAnsi="Calibri"/>
                <w:color w:val="565656"/>
                <w:sz w:val="19"/>
              </w:rPr>
              <w:t>[Source code, system designs, credentials, test data]</w:t>
            </w:r>
          </w:p>
        </w:tc>
      </w:tr>
      <w:tr>
        <w:tc>
          <w:tcPr>
            <w:tcW w:type="dxa" w:w="3168"/>
          </w:tcPr>
          <w:p>
            <w:pPr>
              <w:spacing w:after="40"/>
            </w:pPr>
            <w:r/>
            <w:r>
              <w:rPr>
                <w:rFonts w:ascii="Calibri" w:hAnsi="Calibri"/>
                <w:color w:val="565656"/>
                <w:sz w:val="19"/>
              </w:rPr>
              <w:t>Commercial plans</w:t>
            </w:r>
          </w:p>
        </w:tc>
        <w:tc>
          <w:tcPr>
            <w:tcW w:type="dxa" w:w="6192"/>
          </w:tcPr>
          <w:p>
            <w:pPr>
              <w:spacing w:after="40"/>
            </w:pPr>
            <w:r/>
            <w:r>
              <w:rPr>
                <w:rFonts w:ascii="Calibri" w:hAnsi="Calibri"/>
                <w:color w:val="565656"/>
                <w:sz w:val="19"/>
              </w:rPr>
              <w:t>[Pricing, tenders, launches, expansion, fundraising]</w:t>
            </w:r>
          </w:p>
        </w:tc>
      </w:tr>
      <w:tr>
        <w:tc>
          <w:tcPr>
            <w:tcW w:type="dxa" w:w="3168"/>
          </w:tcPr>
          <w:p>
            <w:pPr>
              <w:spacing w:after="40"/>
            </w:pPr>
            <w:r/>
            <w:r>
              <w:rPr>
                <w:rFonts w:ascii="Calibri" w:hAnsi="Calibri"/>
                <w:color w:val="565656"/>
                <w:sz w:val="19"/>
              </w:rPr>
              <w:t>Finance</w:t>
            </w:r>
          </w:p>
        </w:tc>
        <w:tc>
          <w:tcPr>
            <w:tcW w:type="dxa" w:w="6192"/>
          </w:tcPr>
          <w:p>
            <w:pPr>
              <w:spacing w:after="40"/>
            </w:pPr>
            <w:r/>
            <w:r>
              <w:rPr>
                <w:rFonts w:ascii="Calibri" w:hAnsi="Calibri"/>
                <w:color w:val="565656"/>
                <w:sz w:val="19"/>
              </w:rPr>
              <w:t>[Costs, budgets, unpublished results]</w:t>
            </w:r>
          </w:p>
        </w:tc>
      </w:tr>
      <w:tr>
        <w:tc>
          <w:tcPr>
            <w:tcW w:type="dxa" w:w="3168"/>
          </w:tcPr>
          <w:p>
            <w:pPr>
              <w:spacing w:after="40"/>
            </w:pPr>
            <w:r/>
            <w:r>
              <w:rPr>
                <w:rFonts w:ascii="Calibri" w:hAnsi="Calibri"/>
                <w:color w:val="565656"/>
                <w:sz w:val="19"/>
              </w:rPr>
              <w:t>People</w:t>
            </w:r>
          </w:p>
        </w:tc>
        <w:tc>
          <w:tcPr>
            <w:tcW w:type="dxa" w:w="6192"/>
          </w:tcPr>
          <w:p>
            <w:pPr>
              <w:spacing w:after="40"/>
            </w:pPr>
            <w:r/>
            <w:r>
              <w:rPr>
                <w:rFonts w:ascii="Calibri" w:hAnsi="Calibri"/>
                <w:color w:val="565656"/>
                <w:sz w:val="19"/>
              </w:rPr>
              <w:t>[Salaries, appraisals, medical records, personal data of staff]</w:t>
            </w:r>
          </w:p>
        </w:tc>
      </w:tr>
      <w:tr>
        <w:tc>
          <w:tcPr>
            <w:tcW w:type="dxa" w:w="3168"/>
          </w:tcPr>
          <w:p>
            <w:pPr>
              <w:spacing w:after="40"/>
            </w:pPr>
            <w:r/>
            <w:r>
              <w:rPr>
                <w:rFonts w:ascii="Calibri" w:hAnsi="Calibri"/>
                <w:color w:val="565656"/>
                <w:sz w:val="19"/>
              </w:rPr>
              <w:t>Personal data of others</w:t>
            </w:r>
          </w:p>
        </w:tc>
        <w:tc>
          <w:tcPr>
            <w:tcW w:type="dxa" w:w="6192"/>
          </w:tcPr>
          <w:p>
            <w:pPr>
              <w:spacing w:after="40"/>
            </w:pPr>
            <w:r/>
            <w:r>
              <w:rPr>
                <w:rFonts w:ascii="Calibri" w:hAnsi="Calibri"/>
                <w:color w:val="565656"/>
                <w:sz w:val="19"/>
              </w:rPr>
              <w:t>[Patient, customer or user records the Company processes]</w:t>
            </w:r>
          </w:p>
        </w:tc>
      </w:tr>
      <w:tr>
        <w:tc>
          <w:tcPr>
            <w:tcW w:type="dxa" w:w="3168"/>
          </w:tcPr>
          <w:p>
            <w:pPr>
              <w:spacing w:after="40"/>
            </w:pPr>
            <w:r/>
            <w:r>
              <w:rPr>
                <w:rFonts w:ascii="Calibri" w:hAnsi="Calibri"/>
                <w:color w:val="565656"/>
                <w:sz w:val="19"/>
              </w:rPr>
              <w:t>[YOUR OWN CATEGORY]</w:t>
            </w:r>
          </w:p>
        </w:tc>
        <w:tc>
          <w:tcPr>
            <w:tcW w:type="dxa" w:w="6192"/>
          </w:tcPr>
          <w:p>
            <w:pPr>
              <w:spacing w:after="40"/>
            </w:pPr>
            <w:r/>
            <w:r>
              <w:rPr>
                <w:rFonts w:ascii="Calibri" w:hAnsi="Calibri"/>
                <w:color w:val="565656"/>
                <w:sz w:val="19"/>
              </w:rPr>
              <w:t>[Define it; delete rows that do not apply]</w:t>
            </w:r>
          </w:p>
        </w:tc>
      </w:tr>
    </w:tbl>
    <w:p>
      <w:pPr>
        <w:keepNext w:val="0"/>
        <w:spacing w:after="80" w:before="0"/>
      </w:pPr>
      <w:r>
        <w:rPr>
          <w:rFonts w:ascii="Calibri" w:hAnsi="Calibri"/>
          <w:b w:val="0"/>
          <w:i w:val="0"/>
          <w:color w:val="1D1D1D"/>
          <w:sz w:val="21"/>
        </w:rPr>
      </w:r>
    </w:p>
    <w:p>
      <w:pPr>
        <w:keepNext w:val="0"/>
        <w:spacing w:after="80" w:before="0"/>
      </w:pPr>
      <w:r>
        <w:rPr>
          <w:rFonts w:ascii="Calibri" w:hAnsi="Calibri"/>
          <w:b w:val="0"/>
          <w:i w:val="0"/>
          <w:color w:val="1D1D1D"/>
          <w:sz w:val="20"/>
        </w:rPr>
        <w:t>It does not include:</w:t>
      </w:r>
    </w:p>
    <w:p>
      <w:pPr>
        <w:keepNext w:val="0"/>
        <w:spacing w:after="60" w:before="0"/>
        <w:ind w:left="360"/>
      </w:pPr>
      <w:r>
        <w:rPr>
          <w:rFonts w:ascii="Calibri" w:hAnsi="Calibri"/>
          <w:b w:val="0"/>
          <w:i w:val="0"/>
          <w:color w:val="1D1D1D"/>
          <w:sz w:val="20"/>
        </w:rPr>
        <w:t>•  Information that is, or becomes, public other than through the Employee's breach.</w:t>
      </w:r>
    </w:p>
    <w:p>
      <w:pPr>
        <w:keepNext w:val="0"/>
        <w:spacing w:after="60" w:before="0"/>
        <w:ind w:left="360"/>
      </w:pPr>
      <w:r>
        <w:rPr>
          <w:rFonts w:ascii="Calibri" w:hAnsi="Calibri"/>
          <w:b w:val="0"/>
          <w:i w:val="0"/>
          <w:color w:val="1D1D1D"/>
          <w:sz w:val="20"/>
        </w:rPr>
        <w:t>•  Information the Employee can show they knew before the employment, or received lawfully from someone else with no duty of confidence.</w:t>
      </w:r>
    </w:p>
    <w:p>
      <w:pPr>
        <w:keepNext w:val="0"/>
        <w:spacing w:after="60" w:before="0"/>
        <w:ind w:left="360"/>
      </w:pPr>
      <w:r>
        <w:rPr>
          <w:rFonts w:ascii="Calibri" w:hAnsi="Calibri"/>
          <w:b w:val="0"/>
          <w:i w:val="0"/>
          <w:color w:val="1D1D1D"/>
          <w:sz w:val="20"/>
        </w:rPr>
        <w:t>•  The Employee's general knowledge, skill and experience, including what they learn by doing the job.</w:t>
      </w:r>
    </w:p>
    <w:p>
      <w:pPr>
        <w:keepNext w:val="0"/>
        <w:spacing w:after="60" w:before="0"/>
        <w:ind w:left="360"/>
      </w:pPr>
      <w:r>
        <w:rPr>
          <w:rFonts w:ascii="Calibri" w:hAnsi="Calibri"/>
          <w:b w:val="0"/>
          <w:i w:val="0"/>
          <w:color w:val="1D1D1D"/>
          <w:sz w:val="20"/>
        </w:rPr>
        <w:t>•  Information a law requires the Employee to disclose, or that the Employee gives to a court, tribunal, the police, a regulator, a labour authority or a committee constituted under a law, including the Internal Committee, or to their own legal adviser in confidence.</w:t>
      </w:r>
    </w:p>
    <w:p>
      <w:pPr>
        <w:keepNext w:val="0"/>
        <w:spacing w:after="60" w:before="0"/>
        <w:ind w:left="360"/>
      </w:pPr>
      <w:r>
        <w:rPr>
          <w:rFonts w:ascii="Calibri" w:hAnsi="Calibri"/>
          <w:b w:val="0"/>
          <w:i w:val="0"/>
          <w:color w:val="1D1D1D"/>
          <w:sz w:val="20"/>
        </w:rPr>
        <w:t>•  The Employee's own pay, terms of employment and personal records, and the documents issued to them about these, such as the appointment letter, payslips, tax certificates and this agreement.</w:t>
      </w:r>
    </w:p>
    <w:p>
      <w:r>
        <w:br w:type="page"/>
      </w:r>
    </w:p>
    <w:p>
      <w:pPr>
        <w:pStyle w:val="Heading1"/>
        <w:keepNext/>
        <w:spacing w:after="200" w:before="80"/>
        <w:ind w:left="115"/>
        <w:shd w:val="clear" w:fill="0069A4"/>
      </w:pPr>
      <w:r>
        <w:rPr>
          <w:rFonts w:ascii="Calibri" w:hAnsi="Calibri"/>
          <w:b/>
          <w:color w:val="FFFFFF"/>
          <w:sz w:val="20"/>
        </w:rPr>
        <w:t>FORMAT 04  ·  IP ASSIGNMENT AND INVENTION DISCLOSURE ANNEXURE</w:t>
      </w:r>
    </w:p>
    <w:p>
      <w:pPr>
        <w:keepNext w:val="0"/>
        <w:spacing w:after="120" w:before="0"/>
        <w:ind w:left="144"/>
        <w:shd w:val="clear" w:fill="F4FAFE"/>
      </w:pPr>
      <w:r>
        <w:rPr>
          <w:rFonts w:ascii="Calibri" w:hAnsi="Calibri"/>
          <w:b w:val="0"/>
          <w:i/>
          <w:color w:val="565656"/>
          <w:sz w:val="18"/>
        </w:rPr>
        <w:t>Note for HR, delete before sending: Copyright in a work made in the course of employment is yours by default, so the annexure's job is the rest: the term and territory an unstated assignment defaults to, the right to apply for a patent, which has no employer default, and a disclosure form so you learn of an invention while you can still file. Signed by the employee as assignor.</w:t>
      </w:r>
    </w:p>
    <w:p>
      <w:pPr>
        <w:keepNext w:val="0"/>
        <w:spacing w:after="120" w:before="0"/>
        <w:ind w:left="144"/>
      </w:pPr>
      <w:r>
        <w:rPr>
          <w:rFonts w:ascii="Calibri" w:hAnsi="Calibri"/>
          <w:b w:val="0"/>
          <w:i/>
          <w:color w:val="565656"/>
          <w:sz w:val="16"/>
        </w:rPr>
        <w:t>The annexure starts below.</w:t>
      </w:r>
    </w:p>
    <w:p>
      <w:pPr>
        <w:keepNext w:val="0"/>
        <w:spacing w:after="100" w:before="0"/>
      </w:pPr>
      <w:r>
        <w:rPr>
          <w:rFonts w:ascii="Calibri" w:hAnsi="Calibri"/>
          <w:b/>
          <w:i w:val="0"/>
          <w:color w:val="1D1D1D"/>
          <w:sz w:val="20"/>
        </w:rPr>
        <w:t>ASSIGNMENT OF INTELLECTUAL PROPERTY: SCHEDULE 2 TO [THE AGREEMENT / THE APPOINTMENT LETTER] DATED [DD-MMM-YYYY]</w:t>
      </w:r>
    </w:p>
    <w:p>
      <w:pPr>
        <w:keepNext w:val="0"/>
        <w:spacing w:after="100" w:before="0"/>
      </w:pPr>
      <w:r>
        <w:rPr>
          <w:rFonts w:ascii="Calibri" w:hAnsi="Calibri"/>
          <w:b w:val="0"/>
          <w:i w:val="0"/>
          <w:color w:val="1D1D1D"/>
          <w:sz w:val="20"/>
        </w:rPr>
        <w:t>1. Works. Copyright in every literary, artistic, software or other work the Employee makes in the course of the employment vests in the Company as first owner. For the avoidance of doubt, and to the extent any such copyright does not so vest, the Employee assigns it to the Company.</w:t>
      </w:r>
    </w:p>
    <w:p>
      <w:pPr>
        <w:keepNext w:val="0"/>
        <w:spacing w:after="100" w:before="0"/>
      </w:pPr>
      <w:r>
        <w:rPr>
          <w:rFonts w:ascii="Calibri" w:hAnsi="Calibri"/>
          <w:b w:val="0"/>
          <w:i w:val="0"/>
          <w:color w:val="1D1D1D"/>
          <w:sz w:val="20"/>
        </w:rPr>
        <w:t>2. Particulars of the assignment. Work: every work made in the course of the employment, including [DESCRIBE: software, designs, manuals, content]. Rights: all rights comprised in the copyright. Duration: the whole term of the copyright. Territory: worldwide. Consideration: the salary under the appointment letter, which the Employee acknowledges as the consideration for this assignment. No lapse: the assignment of a right does not lapse if the Company does not exercise it within one year, which section 19(4) of the Copyright Act allows the assignment to specify.</w:t>
      </w:r>
    </w:p>
    <w:p>
      <w:pPr>
        <w:keepNext w:val="0"/>
        <w:spacing w:after="100" w:before="0"/>
      </w:pPr>
      <w:r>
        <w:rPr>
          <w:rFonts w:ascii="Calibri" w:hAnsi="Calibri"/>
          <w:b w:val="0"/>
          <w:i w:val="0"/>
          <w:color w:val="1D1D1D"/>
          <w:sz w:val="20"/>
        </w:rPr>
        <w:t>3. Inventions. The Employee assigns to the Company the right to apply for a patent for any invention made during the employment, either in the course of it or using the Company's resources or Confidential Information, and any patent granted on it, and will sign any further document the Company needs to apply or to record the assignment, in India or elsewhere. The Employee will disclose each such invention on the form below within [FOURTEEN] days of making it. An invention made outside the course of the employment and without the Company's resources or Confidential Information, such as one made in the Employee's own time on their own equipment, is not assigned and need not be disclosed, and nothing in this clause reaches an invention made after the employment ends.</w:t>
      </w:r>
    </w:p>
    <w:p>
      <w:pPr>
        <w:keepNext w:val="0"/>
        <w:spacing w:after="100" w:before="0"/>
      </w:pPr>
      <w:r>
        <w:rPr>
          <w:rFonts w:ascii="Calibri" w:hAnsi="Calibri"/>
          <w:b w:val="0"/>
          <w:i w:val="0"/>
          <w:color w:val="1D1D1D"/>
          <w:sz w:val="20"/>
        </w:rPr>
        <w:t>4. Author's rights. The Employee's rights as author under section 57 of the Copyright Act are not assigned. The Employee agrees that the Company may adapt and modify software to which clause (aa) of section 52(1) applies, as that section allows.</w:t>
      </w:r>
    </w:p>
    <w:p>
      <w:pPr>
        <w:keepNext w:val="0"/>
        <w:spacing w:after="100" w:before="0"/>
      </w:pPr>
      <w:r>
        <w:rPr>
          <w:rFonts w:ascii="Calibri" w:hAnsi="Calibri"/>
          <w:b w:val="0"/>
          <w:i w:val="0"/>
          <w:color w:val="1D1D1D"/>
          <w:sz w:val="20"/>
        </w:rPr>
        <w:t>5. Excluded. [LIST ANY WORK OR INVENTION THE EMPLOYEE MADE BEFORE JOINING AND KEEPS, OR WRITE 'None'.]</w:t>
      </w:r>
    </w:p>
    <w:p>
      <w:pPr>
        <w:keepNext w:val="0"/>
        <w:spacing w:after="100" w:before="0"/>
      </w:pPr>
      <w:r>
        <w:rPr>
          <w:rFonts w:ascii="Calibri" w:hAnsi="Calibri"/>
          <w:b w:val="0"/>
          <w:i w:val="0"/>
          <w:color w:val="1D1D1D"/>
          <w:sz w:val="20"/>
        </w:rPr>
        <w:t>6. Further assurance. The Employee will sign any further document and do anything reasonably needed to give the Company the benefit of this assignment, at the Company's cost.</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The Employee (assignor): ______________________   [EMPLOYEE NAME]   Date: ______________</w:t>
      </w:r>
    </w:p>
    <w:p>
      <w:pPr>
        <w:keepNext w:val="0"/>
        <w:spacing w:after="200" w:before="0"/>
      </w:pPr>
      <w:r>
        <w:rPr>
          <w:rFonts w:ascii="Calibri" w:hAnsi="Calibri"/>
          <w:b w:val="0"/>
          <w:i w:val="0"/>
          <w:color w:val="1D1D1D"/>
          <w:sz w:val="20"/>
        </w:rPr>
        <w:t>For [COMPANY NAME]: ______________________   [NAME], [DESIGNATION]   Date: ______________</w:t>
      </w:r>
    </w:p>
    <w:p>
      <w:pPr>
        <w:keepNext w:val="0"/>
        <w:spacing w:after="120" w:before="0"/>
      </w:pPr>
      <w:r>
        <w:rPr>
          <w:rFonts w:ascii="Calibri" w:hAnsi="Calibri"/>
          <w:b/>
          <w:i w:val="0"/>
          <w:color w:val="1D1D1D"/>
          <w:sz w:val="22"/>
        </w:rPr>
        <w:t>INVENTION DISCLOSURE FORM</w:t>
      </w:r>
    </w:p>
    <w:tbl>
      <w:tblPr>
        <w:tblStyle w:val="TableGrid"/>
        <w:tblW w:type="auto" w:w="0"/>
        <w:tblLook w:firstColumn="1" w:firstRow="1" w:lastColumn="0" w:lastRow="0" w:noHBand="0" w:noVBand="1" w:val="04A0"/>
      </w:tblPr>
      <w:tblGrid>
        <w:gridCol w:w="4945"/>
        <w:gridCol w:w="4945"/>
      </w:tblGrid>
      <w:tr>
        <w:tc>
          <w:tcPr>
            <w:tcW w:type="dxa" w:w="4032"/>
          </w:tcPr>
          <w:p>
            <w:pPr>
              <w:spacing w:after="40"/>
              <w:shd w:val="clear" w:fill="E8F4FC"/>
            </w:pPr>
            <w:r/>
            <w:r>
              <w:rPr>
                <w:rFonts w:ascii="Calibri" w:hAnsi="Calibri"/>
                <w:b/>
                <w:color w:val="0069A4"/>
                <w:sz w:val="19"/>
              </w:rPr>
              <w:t>Item</w:t>
            </w:r>
          </w:p>
        </w:tc>
        <w:tc>
          <w:tcPr>
            <w:tcW w:type="dxa" w:w="5328"/>
          </w:tcPr>
          <w:p>
            <w:pPr>
              <w:spacing w:after="40"/>
              <w:shd w:val="clear" w:fill="E8F4FC"/>
            </w:pPr>
            <w:r/>
            <w:r>
              <w:rPr>
                <w:rFonts w:ascii="Calibri" w:hAnsi="Calibri"/>
                <w:b/>
                <w:color w:val="0069A4"/>
                <w:sz w:val="19"/>
              </w:rPr>
              <w:t>Detail</w:t>
            </w:r>
          </w:p>
        </w:tc>
      </w:tr>
      <w:tr>
        <w:tc>
          <w:tcPr>
            <w:tcW w:type="dxa" w:w="4032"/>
          </w:tcPr>
          <w:p>
            <w:pPr>
              <w:spacing w:after="40"/>
            </w:pPr>
            <w:r/>
            <w:r>
              <w:rPr>
                <w:rFonts w:ascii="Calibri" w:hAnsi="Calibri"/>
                <w:color w:val="565656"/>
                <w:sz w:val="19"/>
              </w:rPr>
              <w:t>Title of the invention or work</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Date made, and where</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Short description, with any drawing attached</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Company resources or Confidential Information used</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Others who contributed, with their employer</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Has it been disclosed to anyone outside the Company? Where?</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Employee's signature and date</w:t>
            </w:r>
          </w:p>
        </w:tc>
        <w:tc>
          <w:tcPr>
            <w:tcW w:type="dxa" w:w="5328"/>
          </w:tcPr>
          <w:p>
            <w:pPr>
              <w:spacing w:after="40"/>
            </w:pPr>
            <w:r/>
            <w:r>
              <w:rPr>
                <w:rFonts w:ascii="Calibri" w:hAnsi="Calibri"/>
                <w:color w:val="565656"/>
                <w:sz w:val="19"/>
              </w:rPr>
            </w:r>
          </w:p>
        </w:tc>
      </w:tr>
      <w:tr>
        <w:tc>
          <w:tcPr>
            <w:tcW w:type="dxa" w:w="4032"/>
          </w:tcPr>
          <w:p>
            <w:pPr>
              <w:spacing w:after="40"/>
            </w:pPr>
            <w:r/>
            <w:r>
              <w:rPr>
                <w:rFonts w:ascii="Calibri" w:hAnsi="Calibri"/>
                <w:color w:val="565656"/>
                <w:sz w:val="19"/>
              </w:rPr>
              <w:t>Received by [ROLE], signature and date</w:t>
            </w:r>
          </w:p>
        </w:tc>
        <w:tc>
          <w:tcPr>
            <w:tcW w:type="dxa" w:w="5328"/>
          </w:tcPr>
          <w:p>
            <w:pPr>
              <w:spacing w:after="40"/>
            </w:pPr>
            <w:r/>
            <w:r>
              <w:rPr>
                <w:rFonts w:ascii="Calibri" w:hAnsi="Calibri"/>
                <w:color w:val="565656"/>
                <w:sz w:val="19"/>
              </w:rPr>
            </w:r>
          </w:p>
        </w:tc>
      </w:tr>
    </w:tbl>
    <w:p>
      <w:r>
        <w:br w:type="page"/>
      </w:r>
    </w:p>
    <w:p>
      <w:pPr>
        <w:pStyle w:val="Heading1"/>
        <w:keepNext/>
        <w:spacing w:after="200" w:before="80"/>
        <w:ind w:left="115"/>
        <w:shd w:val="clear" w:fill="0069A4"/>
      </w:pPr>
      <w:r>
        <w:rPr>
          <w:rFonts w:ascii="Calibri" w:hAnsi="Calibri"/>
          <w:b/>
          <w:color w:val="FFFFFF"/>
          <w:sz w:val="20"/>
        </w:rPr>
        <w:t>FORMAT 05  ·  RETURN OF PROPERTY AND EXIT ACKNOWLEDGEMENT</w:t>
      </w:r>
    </w:p>
    <w:p>
      <w:pPr>
        <w:keepNext w:val="0"/>
        <w:spacing w:after="120" w:before="0"/>
        <w:ind w:left="144"/>
        <w:shd w:val="clear" w:fill="F4FAFE"/>
      </w:pPr>
      <w:r>
        <w:rPr>
          <w:rFonts w:ascii="Calibri" w:hAnsi="Calibri"/>
          <w:b w:val="0"/>
          <w:i/>
          <w:color w:val="565656"/>
          <w:sz w:val="18"/>
        </w:rPr>
        <w:t>Note for HR, delete before sending: Signed on the last working day, with the relieving letter. It lists what came back, confirms nothing was kept, and reminds the employee that the confidentiality duty continues. It does not add a non-compete, and signing it is not a condition of the relieving letter or the final settlement: wages on leaving are due within two working days (Code on Wages s.17(2)), and the form gives up no amount due (s.60). It lets the employee keep their own payslips and appointment letter. An unreturned laptop is not a leak: a deduction for goods expressly entrusted is allowed, but only up to the loss and only after the employee has been heard (s.18(2)(c), s.21).</w:t>
      </w:r>
    </w:p>
    <w:p>
      <w:pPr>
        <w:keepNext w:val="0"/>
        <w:spacing w:after="120" w:before="0"/>
        <w:ind w:left="144"/>
      </w:pPr>
      <w:r>
        <w:rPr>
          <w:rFonts w:ascii="Calibri" w:hAnsi="Calibri"/>
          <w:b w:val="0"/>
          <w:i/>
          <w:color w:val="565656"/>
          <w:sz w:val="16"/>
        </w:rPr>
        <w:t>The acknowledgement starts below.</w:t>
      </w:r>
    </w:p>
    <w:p>
      <w:pPr>
        <w:keepNext w:val="0"/>
        <w:spacing w:after="160" w:before="0"/>
      </w:pPr>
      <w:r>
        <w:rPr>
          <w:rFonts w:ascii="Calibri" w:hAnsi="Calibri"/>
          <w:b w:val="0"/>
          <w:i w:val="0"/>
          <w:color w:val="1D1D1D"/>
          <w:sz w:val="19"/>
        </w:rPr>
        <w:t>Date: [DD-MMM-YYYY]</w:t>
      </w:r>
    </w:p>
    <w:p>
      <w:pPr>
        <w:keepNext w:val="0"/>
        <w:spacing w:after="100" w:before="0"/>
      </w:pPr>
      <w:r>
        <w:rPr>
          <w:rFonts w:ascii="Calibri" w:hAnsi="Calibri"/>
          <w:b w:val="0"/>
          <w:i w:val="0"/>
          <w:color w:val="1D1D1D"/>
          <w:sz w:val="20"/>
        </w:rPr>
        <w:t>To: [COMPANY NAME]</w:t>
      </w:r>
    </w:p>
    <w:p>
      <w:pPr>
        <w:keepNext w:val="0"/>
        <w:spacing w:after="100" w:before="0"/>
      </w:pPr>
      <w:r>
        <w:rPr>
          <w:rFonts w:ascii="Calibri" w:hAnsi="Calibri"/>
          <w:b w:val="0"/>
          <w:i w:val="0"/>
          <w:color w:val="1D1D1D"/>
          <w:sz w:val="20"/>
        </w:rPr>
        <w:t>Subject: Return of property and continuing confidentiality</w:t>
      </w:r>
    </w:p>
    <w:p>
      <w:pPr>
        <w:keepNext w:val="0"/>
        <w:spacing w:after="100" w:before="0"/>
      </w:pPr>
      <w:r>
        <w:rPr>
          <w:rFonts w:ascii="Calibri" w:hAnsi="Calibri"/>
          <w:b w:val="0"/>
          <w:i w:val="0"/>
          <w:color w:val="1D1D1D"/>
          <w:sz w:val="20"/>
        </w:rPr>
        <w:t>I, [EMPLOYEE NAME], employee code [EMPLOYEE CODE], confirm on my last working day, [DD-MMM-YYYY], that:</w:t>
      </w:r>
    </w:p>
    <w:p>
      <w:pPr>
        <w:keepNext w:val="0"/>
        <w:spacing w:after="100" w:before="0"/>
      </w:pPr>
      <w:r>
        <w:rPr>
          <w:rFonts w:ascii="Calibri" w:hAnsi="Calibri"/>
          <w:b w:val="0"/>
          <w:i w:val="0"/>
          <w:color w:val="1D1D1D"/>
          <w:sz w:val="20"/>
        </w:rPr>
        <w:t>1. I have returned the items listed below, and have not kept any copy of Confidential Information in any form, on any device, account or storage, personal or otherwise. This does not include my own appointment letter, payslips, tax certificates and other documents about my own employment, which I may keep.</w:t>
      </w:r>
    </w:p>
    <w:tbl>
      <w:tblPr>
        <w:tblStyle w:val="TableGrid"/>
        <w:tblW w:type="auto" w:w="0"/>
        <w:tblLook w:firstColumn="1" w:firstRow="1" w:lastColumn="0" w:lastRow="0" w:noHBand="0" w:noVBand="1" w:val="04A0"/>
      </w:tblPr>
      <w:tblGrid>
        <w:gridCol w:w="2472"/>
        <w:gridCol w:w="2472"/>
        <w:gridCol w:w="2472"/>
        <w:gridCol w:w="2472"/>
      </w:tblGrid>
      <w:tr>
        <w:tc>
          <w:tcPr>
            <w:tcW w:type="dxa" w:w="3168"/>
          </w:tcPr>
          <w:p>
            <w:pPr>
              <w:spacing w:after="40"/>
              <w:shd w:val="clear" w:fill="E8F4FC"/>
            </w:pPr>
            <w:r/>
            <w:r>
              <w:rPr>
                <w:rFonts w:ascii="Calibri" w:hAnsi="Calibri"/>
                <w:b/>
                <w:color w:val="0069A4"/>
                <w:sz w:val="18"/>
              </w:rPr>
              <w:t>Item</w:t>
            </w:r>
          </w:p>
        </w:tc>
        <w:tc>
          <w:tcPr>
            <w:tcW w:type="dxa" w:w="2304"/>
          </w:tcPr>
          <w:p>
            <w:pPr>
              <w:spacing w:after="40"/>
              <w:shd w:val="clear" w:fill="E8F4FC"/>
            </w:pPr>
            <w:r/>
            <w:r>
              <w:rPr>
                <w:rFonts w:ascii="Calibri" w:hAnsi="Calibri"/>
                <w:b/>
                <w:color w:val="0069A4"/>
                <w:sz w:val="18"/>
              </w:rPr>
              <w:t>Asset or ID number</w:t>
            </w:r>
          </w:p>
        </w:tc>
        <w:tc>
          <w:tcPr>
            <w:tcW w:type="dxa" w:w="1872"/>
          </w:tcPr>
          <w:p>
            <w:pPr>
              <w:spacing w:after="40"/>
              <w:shd w:val="clear" w:fill="E8F4FC"/>
            </w:pPr>
            <w:r/>
            <w:r>
              <w:rPr>
                <w:rFonts w:ascii="Calibri" w:hAnsi="Calibri"/>
                <w:b/>
                <w:color w:val="0069A4"/>
                <w:sz w:val="18"/>
              </w:rPr>
              <w:t>Returned on</w:t>
            </w:r>
          </w:p>
        </w:tc>
        <w:tc>
          <w:tcPr>
            <w:tcW w:type="dxa" w:w="2016"/>
          </w:tcPr>
          <w:p>
            <w:pPr>
              <w:spacing w:after="40"/>
              <w:shd w:val="clear" w:fill="E8F4FC"/>
            </w:pPr>
            <w:r/>
            <w:r>
              <w:rPr>
                <w:rFonts w:ascii="Calibri" w:hAnsi="Calibri"/>
                <w:b/>
                <w:color w:val="0069A4"/>
                <w:sz w:val="18"/>
              </w:rPr>
              <w:t>Received by</w:t>
            </w:r>
          </w:p>
        </w:tc>
      </w:tr>
      <w:tr>
        <w:tc>
          <w:tcPr>
            <w:tcW w:type="dxa" w:w="3168"/>
          </w:tcPr>
          <w:p>
            <w:pPr>
              <w:spacing w:after="40"/>
            </w:pPr>
            <w:r/>
            <w:r>
              <w:rPr>
                <w:rFonts w:ascii="Calibri" w:hAnsi="Calibri"/>
                <w:color w:val="565656"/>
                <w:sz w:val="18"/>
              </w:rPr>
              <w:t>Laptop</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Phone and SIM</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Access card and keys</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Documents and drawings</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Storage media</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Logins disabled (IT to confirm)</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r>
        <w:tc>
          <w:tcPr>
            <w:tcW w:type="dxa" w:w="3168"/>
          </w:tcPr>
          <w:p>
            <w:pPr>
              <w:spacing w:after="40"/>
            </w:pPr>
            <w:r/>
            <w:r>
              <w:rPr>
                <w:rFonts w:ascii="Calibri" w:hAnsi="Calibri"/>
                <w:color w:val="565656"/>
                <w:sz w:val="18"/>
              </w:rPr>
              <w:t>[OTHER]</w:t>
            </w:r>
          </w:p>
        </w:tc>
        <w:tc>
          <w:tcPr>
            <w:tcW w:type="dxa" w:w="2304"/>
          </w:tcPr>
          <w:p>
            <w:pPr>
              <w:spacing w:after="40"/>
            </w:pPr>
            <w:r/>
            <w:r>
              <w:rPr>
                <w:rFonts w:ascii="Calibri" w:hAnsi="Calibri"/>
                <w:color w:val="565656"/>
                <w:sz w:val="18"/>
              </w:rPr>
            </w:r>
          </w:p>
        </w:tc>
        <w:tc>
          <w:tcPr>
            <w:tcW w:type="dxa" w:w="1872"/>
          </w:tcPr>
          <w:p>
            <w:pPr>
              <w:spacing w:after="40"/>
            </w:pPr>
            <w:r/>
            <w:r>
              <w:rPr>
                <w:rFonts w:ascii="Calibri" w:hAnsi="Calibri"/>
                <w:color w:val="565656"/>
                <w:sz w:val="18"/>
              </w:rPr>
            </w:r>
          </w:p>
        </w:tc>
        <w:tc>
          <w:tcPr>
            <w:tcW w:type="dxa" w:w="2016"/>
          </w:tcPr>
          <w:p>
            <w:pPr>
              <w:spacing w:after="40"/>
            </w:pPr>
            <w:r/>
            <w:r>
              <w:rPr>
                <w:rFonts w:ascii="Calibri" w:hAnsi="Calibri"/>
                <w:color w:val="565656"/>
                <w:sz w:val="18"/>
              </w:rPr>
            </w:r>
          </w:p>
        </w:tc>
      </w:tr>
    </w:tbl>
    <w:p>
      <w:pPr>
        <w:keepNext w:val="0"/>
        <w:spacing w:after="80" w:before="0"/>
      </w:pPr>
      <w:r>
        <w:rPr>
          <w:rFonts w:ascii="Calibri" w:hAnsi="Calibri"/>
          <w:b w:val="0"/>
          <w:i w:val="0"/>
          <w:color w:val="1D1D1D"/>
          <w:sz w:val="21"/>
        </w:rPr>
      </w:r>
    </w:p>
    <w:p>
      <w:pPr>
        <w:keepNext w:val="0"/>
        <w:spacing w:after="100" w:before="0"/>
      </w:pPr>
      <w:r>
        <w:rPr>
          <w:rFonts w:ascii="Calibri" w:hAnsi="Calibri"/>
          <w:b w:val="0"/>
          <w:i w:val="0"/>
          <w:color w:val="1D1D1D"/>
          <w:sz w:val="20"/>
        </w:rPr>
        <w:t>2. I have deleted Confidential Information from any personal device or account on which it was held with the Company's permission, and have told [CONTACT ROLE] where that was.</w:t>
      </w:r>
    </w:p>
    <w:p>
      <w:pPr>
        <w:keepNext w:val="0"/>
        <w:spacing w:after="100" w:before="0"/>
      </w:pPr>
      <w:r>
        <w:rPr>
          <w:rFonts w:ascii="Calibri" w:hAnsi="Calibri"/>
          <w:b w:val="0"/>
          <w:i w:val="0"/>
          <w:color w:val="1D1D1D"/>
          <w:sz w:val="20"/>
        </w:rPr>
        <w:t>3. I understand that my confidentiality duty under [the agreement dated DD-MMM-YYYY / clause N of my appointment letter] continues after today for as long as the information remains confidential.</w:t>
      </w:r>
    </w:p>
    <w:p>
      <w:pPr>
        <w:keepNext w:val="0"/>
        <w:spacing w:after="100" w:before="0"/>
      </w:pPr>
      <w:r>
        <w:rPr>
          <w:rFonts w:ascii="Calibri" w:hAnsi="Calibri"/>
          <w:b w:val="0"/>
          <w:i w:val="0"/>
          <w:color w:val="1D1D1D"/>
          <w:sz w:val="20"/>
        </w:rPr>
        <w:t>4. I have disclosed every invention and work I made in the course of my employment that the assignment covers. [OR: No such invention or work exists.]</w:t>
      </w:r>
    </w:p>
    <w:p>
      <w:pPr>
        <w:keepNext w:val="0"/>
        <w:spacing w:after="100" w:before="0"/>
      </w:pPr>
      <w:r>
        <w:rPr>
          <w:rFonts w:ascii="Calibri" w:hAnsi="Calibri"/>
          <w:b w:val="0"/>
          <w:i w:val="0"/>
          <w:color w:val="1D1D1D"/>
          <w:sz w:val="20"/>
        </w:rPr>
        <w:t>5. I understand that nothing in this acknowledgement restricts where I work next, that signing it is not a condition of my relieving letter or my final settlement, and that it settles or gives up no amount due to me.</w:t>
      </w:r>
    </w:p>
    <w:p>
      <w:pPr>
        <w:keepNext w:val="0"/>
        <w:spacing w:after="80" w:before="0"/>
      </w:pPr>
      <w:r>
        <w:rPr>
          <w:rFonts w:ascii="Calibri" w:hAnsi="Calibri"/>
          <w:b w:val="0"/>
          <w:i w:val="0"/>
          <w:color w:val="1D1D1D"/>
          <w:sz w:val="21"/>
        </w:rPr>
      </w:r>
    </w:p>
    <w:p>
      <w:pPr>
        <w:keepNext w:val="0"/>
        <w:spacing w:after="120" w:before="0"/>
      </w:pPr>
      <w:r>
        <w:rPr>
          <w:rFonts w:ascii="Calibri" w:hAnsi="Calibri"/>
          <w:b w:val="0"/>
          <w:i w:val="0"/>
          <w:color w:val="1D1D1D"/>
          <w:sz w:val="20"/>
        </w:rPr>
        <w:t>Signature: ______________________   [EMPLOYEE NAME]   Date: ______________</w:t>
      </w:r>
    </w:p>
    <w:p>
      <w:pPr>
        <w:keepNext w:val="0"/>
        <w:spacing w:after="120" w:before="0"/>
      </w:pPr>
      <w:r>
        <w:rPr>
          <w:rFonts w:ascii="Calibri" w:hAnsi="Calibri"/>
          <w:b w:val="0"/>
          <w:i w:val="0"/>
          <w:color w:val="1D1D1D"/>
          <w:sz w:val="20"/>
        </w:rPr>
        <w:t>Received for [COMPANY NAME]: ______________________   [NAME], [DESIGNATION]   Date: ______________</w:t>
      </w:r>
    </w:p>
    <w:p>
      <w:r>
        <w:br w:type="page"/>
      </w:r>
    </w:p>
    <w:p>
      <w:pPr>
        <w:pStyle w:val="Heading1"/>
        <w:keepNext/>
        <w:spacing w:after="200" w:before="80"/>
        <w:ind w:left="115"/>
        <w:shd w:val="clear" w:fill="0069A4"/>
      </w:pPr>
      <w:r>
        <w:rPr>
          <w:rFonts w:ascii="Calibri" w:hAnsi="Calibri"/>
          <w:b/>
          <w:color w:val="FFFFFF"/>
          <w:sz w:val="20"/>
        </w:rPr>
        <w:t>FORMAT 06  ·  CONSULTANT AND CONTRACTOR NDA</w:t>
      </w:r>
    </w:p>
    <w:p>
      <w:pPr>
        <w:keepNext w:val="0"/>
        <w:spacing w:after="120" w:before="0"/>
        <w:ind w:left="144"/>
        <w:shd w:val="clear" w:fill="F4FAFE"/>
      </w:pPr>
      <w:r>
        <w:rPr>
          <w:rFonts w:ascii="Calibri" w:hAnsi="Calibri"/>
          <w:b w:val="0"/>
          <w:i/>
          <w:color w:val="565656"/>
          <w:sz w:val="18"/>
        </w:rPr>
        <w:t>Note for HR, delete before sending: For anyone who is not your employee: a consultant, a freelancer, a vendor's staff on site. Two things change. The copyright default does not reach a contract for services, so this format carries its own assignment. And where the consultant handles personal data for you, the DPDP Act lets you engage them only under a valid contract, so the processing clauses are not optional.</w:t>
      </w:r>
    </w:p>
    <w:p>
      <w:pPr>
        <w:keepNext w:val="0"/>
        <w:spacing w:after="120" w:before="0"/>
        <w:ind w:left="144"/>
      </w:pPr>
      <w:r>
        <w:rPr>
          <w:rFonts w:ascii="Calibri" w:hAnsi="Calibri"/>
          <w:b w:val="0"/>
          <w:i/>
          <w:color w:val="565656"/>
          <w:sz w:val="16"/>
        </w:rPr>
        <w:t>The agreement starts below.</w:t>
      </w:r>
    </w:p>
    <w:p>
      <w:pPr>
        <w:keepNext w:val="0"/>
        <w:spacing w:after="200" w:before="0"/>
      </w:pPr>
      <w:r>
        <w:rPr>
          <w:rFonts w:ascii="Calibri" w:hAnsi="Calibri"/>
          <w:b w:val="0"/>
          <w:i w:val="0"/>
          <w:color w:val="565656"/>
          <w:sz w:val="18"/>
        </w:rPr>
        <w:t>[COMPANY LETTERHEAD]</w:t>
      </w:r>
    </w:p>
    <w:p>
      <w:pPr>
        <w:keepNext w:val="0"/>
        <w:spacing w:after="100" w:before="0"/>
      </w:pPr>
      <w:r>
        <w:rPr>
          <w:rFonts w:ascii="Calibri" w:hAnsi="Calibri"/>
          <w:b/>
          <w:i w:val="0"/>
          <w:color w:val="1D1D1D"/>
          <w:sz w:val="20"/>
        </w:rPr>
        <w:t>CONSULTANT NON-DISCLOSURE AND ASSIGNMENT AGREEMENT</w:t>
      </w:r>
    </w:p>
    <w:p>
      <w:pPr>
        <w:keepNext w:val="0"/>
        <w:spacing w:after="100" w:before="0"/>
      </w:pPr>
      <w:r>
        <w:rPr>
          <w:rFonts w:ascii="Calibri" w:hAnsi="Calibri"/>
          <w:b w:val="0"/>
          <w:i w:val="0"/>
          <w:color w:val="1D1D1D"/>
          <w:sz w:val="20"/>
        </w:rPr>
        <w:t>Between [COMPANY NAME] (the Company) and [CONSULTANT / FIRM NAME], [ADDRESS] (the Consultant), engaged under [THE ENGAGEMENT LETTER / PURCHASE ORDER DATED DD-MMM-YYYY] for [THE SERVICES].</w:t>
      </w:r>
    </w:p>
    <w:p>
      <w:pPr>
        <w:keepNext w:val="0"/>
        <w:spacing w:after="100" w:before="0"/>
      </w:pPr>
      <w:r>
        <w:rPr>
          <w:rFonts w:ascii="Calibri" w:hAnsi="Calibri"/>
          <w:b w:val="0"/>
          <w:i w:val="0"/>
          <w:color w:val="1D1D1D"/>
          <w:sz w:val="20"/>
        </w:rPr>
        <w:t>1. Not employment. The Consultant provides services under a contract for services. Nothing here creates employment, and the Consultant's own staff remain the Consultant's responsibility.</w:t>
      </w:r>
    </w:p>
    <w:p>
      <w:pPr>
        <w:keepNext w:val="0"/>
        <w:spacing w:after="100" w:before="0"/>
      </w:pPr>
      <w:r>
        <w:rPr>
          <w:rFonts w:ascii="Calibri" w:hAnsi="Calibri"/>
          <w:b w:val="0"/>
          <w:i w:val="0"/>
          <w:color w:val="1D1D1D"/>
          <w:sz w:val="20"/>
        </w:rPr>
        <w:t>2. Confidential Information: the categories in Schedule 1. The Consultant will use it only for the services, disclose it only to staff who need it and who are bound in writing by duties no weaker than these, keep it secure, and return or delete it when the services end or on request. Nothing in this clause stops a disclosure a law requires, or one to a court, tribunal, the police, a regulator or a committee constituted under a law.</w:t>
      </w:r>
    </w:p>
    <w:p>
      <w:pPr>
        <w:keepNext w:val="0"/>
        <w:spacing w:after="100" w:before="0"/>
      </w:pPr>
      <w:r>
        <w:rPr>
          <w:rFonts w:ascii="Calibri" w:hAnsi="Calibri"/>
          <w:b w:val="0"/>
          <w:i w:val="0"/>
          <w:color w:val="1D1D1D"/>
          <w:sz w:val="20"/>
        </w:rPr>
        <w:t>3. Personal data. Where the Consultant processes personal data on the Company's behalf, the Consultant does so only on the Company's written instructions and for the purpose the Company specifies, takes reasonable security safeguards, tells the Company of any personal data breach within [HOURS, WELL INSIDE 72] hours of learning of it, and erases the data when the Company says the purpose is served. The Consultant engages no sub-processor without the Company's written consent.</w:t>
      </w:r>
    </w:p>
    <w:p>
      <w:pPr>
        <w:keepNext w:val="0"/>
        <w:spacing w:after="100" w:before="0"/>
      </w:pPr>
      <w:r>
        <w:rPr>
          <w:rFonts w:ascii="Calibri" w:hAnsi="Calibri"/>
          <w:b w:val="0"/>
          <w:i w:val="0"/>
          <w:color w:val="1D1D1D"/>
          <w:sz w:val="20"/>
        </w:rPr>
        <w:t>4. Assignment. The copyright in every work the Consultant creates in performing the services is assigned to the Company. Work: [DESCRIBE]. Rights: all rights comprised in the copyright. Duration: the whole term. Territory: worldwide. Consideration: the fee under the engagement. No lapse: the assignment of a right does not lapse if the Company does not exercise it within one year (Copyright Act s.19(4)). The Consultant assigns the right to apply for a patent for any invention made in performing the services, and any patent granted on it, and will sign any further document needed. The Consultant warrants that its staff have assigned these rights to it.</w:t>
      </w:r>
    </w:p>
    <w:p>
      <w:pPr>
        <w:keepNext w:val="0"/>
        <w:spacing w:after="100" w:before="0"/>
      </w:pPr>
      <w:r>
        <w:rPr>
          <w:rFonts w:ascii="Calibri" w:hAnsi="Calibri"/>
          <w:b w:val="0"/>
          <w:i w:val="0"/>
          <w:color w:val="1D1D1D"/>
          <w:sz w:val="20"/>
        </w:rPr>
        <w:t>5. Duration. Clauses 2 and 3 continue after the services end for as long as the information remains confidential.</w:t>
      </w:r>
    </w:p>
    <w:p>
      <w:pPr>
        <w:keepNext w:val="0"/>
        <w:spacing w:after="100" w:before="0"/>
      </w:pPr>
      <w:r>
        <w:rPr>
          <w:rFonts w:ascii="Calibri" w:hAnsi="Calibri"/>
          <w:b w:val="0"/>
          <w:i w:val="0"/>
          <w:color w:val="1D1D1D"/>
          <w:sz w:val="20"/>
        </w:rPr>
        <w:t>6. Remedies. The Company may seek an injunction and compensation for loss caused. Any sum named elsewhere in the engagement for a breach is a ceiling on reasonable compensation.</w:t>
      </w:r>
    </w:p>
    <w:p>
      <w:pPr>
        <w:keepNext w:val="0"/>
        <w:spacing w:after="100" w:before="0"/>
      </w:pPr>
      <w:r>
        <w:rPr>
          <w:rFonts w:ascii="Calibri" w:hAnsi="Calibri"/>
          <w:b w:val="0"/>
          <w:i w:val="0"/>
          <w:color w:val="1D1D1D"/>
          <w:sz w:val="20"/>
        </w:rPr>
        <w:t>7. Governed by Indian law; courts at [CITY].</w:t>
      </w:r>
    </w:p>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For [COMPANY NAME]: ______________________   [NAME], [DESIGNATION]   Date: ______________</w:t>
      </w:r>
    </w:p>
    <w:p>
      <w:pPr>
        <w:keepNext w:val="0"/>
        <w:spacing w:after="120" w:before="0"/>
      </w:pPr>
      <w:r>
        <w:rPr>
          <w:rFonts w:ascii="Calibri" w:hAnsi="Calibri"/>
          <w:b w:val="0"/>
          <w:i w:val="0"/>
          <w:color w:val="1D1D1D"/>
          <w:sz w:val="20"/>
        </w:rPr>
        <w:t>The Consultant: ______________________   [NAME / FIRM, SIGNATORY]   Date: ______________</w:t>
      </w:r>
    </w:p>
    <w:p>
      <w:pPr>
        <w:keepNext w:val="0"/>
        <w:spacing w:after="120" w:before="0"/>
      </w:pPr>
      <w:r>
        <w:rPr>
          <w:rFonts w:ascii="Calibri" w:hAnsi="Calibri"/>
          <w:b w:val="0"/>
          <w:i/>
          <w:color w:val="565656"/>
          <w:sz w:val="19"/>
        </w:rPr>
        <w:t>Schedule 1: Confidential Information (Format 03, edited for the services).</w:t>
      </w:r>
    </w:p>
    <w:p>
      <w:r>
        <w:br w:type="page"/>
      </w:r>
    </w:p>
    <w:p>
      <w:pPr>
        <w:pStyle w:val="Heading1"/>
        <w:keepNext/>
        <w:spacing w:after="200" w:before="80"/>
        <w:ind w:left="115"/>
        <w:shd w:val="clear" w:fill="0069A4"/>
      </w:pPr>
      <w:r>
        <w:rPr>
          <w:rFonts w:ascii="Calibri" w:hAnsi="Calibri"/>
          <w:b/>
          <w:color w:val="FFFFFF"/>
          <w:sz w:val="20"/>
        </w:rPr>
        <w:t>FORMAT 07  ·  BREACH NOTICE</w:t>
      </w:r>
    </w:p>
    <w:p>
      <w:pPr>
        <w:keepNext w:val="0"/>
        <w:spacing w:after="120" w:before="0"/>
        <w:ind w:left="144"/>
        <w:shd w:val="clear" w:fill="F4FAFE"/>
      </w:pPr>
      <w:r>
        <w:rPr>
          <w:rFonts w:ascii="Calibri" w:hAnsi="Calibri"/>
          <w:b w:val="0"/>
          <w:i/>
          <w:color w:val="565656"/>
          <w:sz w:val="18"/>
        </w:rPr>
        <w:t>Note for HR, delete before sending: Sent when you have grounds and the evidence is preserved, before any other step. It names the clause, the information, what you know and what you want: return, deletion, the written undertaking that follows it, and a reservation of the claim for loss. It states facts, not findings, and invites a reply before anything further happens. It threatens no penalty sum and no deduction, because neither is available. Send it to the person alone: on our reading, a copy to a new employer or to colleagues is a publication that can found a defamation claim, and a conclusion stated as fact can be read back against you. For a worker covered by standing orders it is not the charge sheet, and the disciplinary route runs separately.</w:t>
      </w:r>
    </w:p>
    <w:p>
      <w:pPr>
        <w:keepNext w:val="0"/>
        <w:spacing w:after="120" w:before="0"/>
        <w:ind w:left="144"/>
      </w:pPr>
      <w:r>
        <w:rPr>
          <w:rFonts w:ascii="Calibri" w:hAnsi="Calibri"/>
          <w:b w:val="0"/>
          <w:i/>
          <w:color w:val="565656"/>
          <w:sz w:val="16"/>
        </w:rPr>
        <w:t>The letter starts below.</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100" w:before="0"/>
      </w:pPr>
      <w:r>
        <w:rPr>
          <w:rFonts w:ascii="Calibri" w:hAnsi="Calibri"/>
          <w:b w:val="0"/>
          <w:i w:val="0"/>
          <w:color w:val="1D1D1D"/>
          <w:sz w:val="20"/>
        </w:rPr>
        <w:t>To: [NAME], [DESIGNATION / FORMER DESIGNATION]</w:t>
      </w:r>
    </w:p>
    <w:p>
      <w:pPr>
        <w:keepNext w:val="0"/>
        <w:spacing w:after="100" w:before="0"/>
      </w:pPr>
      <w:r>
        <w:rPr>
          <w:rFonts w:ascii="Calibri" w:hAnsi="Calibri"/>
          <w:b w:val="0"/>
          <w:i w:val="0"/>
          <w:color w:val="1D1D1D"/>
          <w:sz w:val="20"/>
        </w:rPr>
        <w:t>Subject: Confidential Information under the agreement dated [DD-MMM-YYYY]: notice and request</w:t>
      </w:r>
    </w:p>
    <w:p>
      <w:pPr>
        <w:keepNext w:val="0"/>
        <w:spacing w:after="100" w:before="0"/>
      </w:pPr>
      <w:r>
        <w:rPr>
          <w:rFonts w:ascii="Calibri" w:hAnsi="Calibri"/>
          <w:b w:val="0"/>
          <w:i w:val="0"/>
          <w:color w:val="1D1D1D"/>
          <w:sz w:val="20"/>
        </w:rPr>
        <w:t>Dear [NAME],</w:t>
      </w:r>
    </w:p>
    <w:p>
      <w:pPr>
        <w:keepNext w:val="0"/>
        <w:spacing w:after="100" w:before="0"/>
      </w:pPr>
      <w:r>
        <w:rPr>
          <w:rFonts w:ascii="Calibri" w:hAnsi="Calibri"/>
          <w:b w:val="0"/>
          <w:i w:val="0"/>
          <w:color w:val="1D1D1D"/>
          <w:sz w:val="20"/>
        </w:rPr>
        <w:t>Under [clause 3 of the agreement dated DD-MMM-YYYY / clause N of your appointment letter], you agreed not to disclose, copy or remove the Company's Confidential Information, which includes [THE CATEGORY IN SCHEDULE 1].</w:t>
      </w:r>
    </w:p>
    <w:p>
      <w:pPr>
        <w:keepNext w:val="0"/>
        <w:spacing w:after="100" w:before="0"/>
      </w:pPr>
      <w:r>
        <w:rPr>
          <w:rFonts w:ascii="Calibri" w:hAnsi="Calibri"/>
          <w:b w:val="0"/>
          <w:i w:val="0"/>
          <w:color w:val="1D1D1D"/>
          <w:sz w:val="20"/>
        </w:rPr>
        <w:t>On [DATE], [WHAT HAPPENED, AS A FACT YOU CAN PROVE, NOT A CONCLUSION: a file named X was emailed from your account to Y / a copy of the price list was found with Z]. [WHAT THE COMPANY KNOWS, AND HOW.]</w:t>
      </w:r>
    </w:p>
    <w:p>
      <w:pPr>
        <w:keepNext w:val="0"/>
        <w:spacing w:after="100" w:before="0"/>
      </w:pPr>
      <w:r>
        <w:rPr>
          <w:rFonts w:ascii="Calibri" w:hAnsi="Calibri"/>
          <w:b w:val="0"/>
          <w:i w:val="0"/>
          <w:color w:val="1D1D1D"/>
          <w:sz w:val="20"/>
        </w:rPr>
        <w:t>The Company requires you, within [SEVEN] days of this notice, to: (a) return every copy of the information in any form, and confirm in writing that none is kept; (b) identify everyone to whom it was disclosed; (c) sign and return the undertaking that follows this notice; and (d) [ANY OTHER STEP].</w:t>
      </w:r>
    </w:p>
    <w:p>
      <w:pPr>
        <w:keepNext w:val="0"/>
        <w:spacing w:after="100" w:before="0"/>
      </w:pPr>
      <w:r>
        <w:rPr>
          <w:rFonts w:ascii="Calibri" w:hAnsi="Calibri"/>
          <w:b w:val="0"/>
          <w:i w:val="0"/>
          <w:color w:val="1D1D1D"/>
          <w:sz w:val="20"/>
        </w:rPr>
        <w:t>If you dispute any of this, or there is an explanation the Company does not have, reply in writing within the same period. The Company will consider your reply before it takes any further step.</w:t>
      </w:r>
    </w:p>
    <w:p>
      <w:pPr>
        <w:keepNext w:val="0"/>
        <w:spacing w:after="100" w:before="0"/>
      </w:pPr>
      <w:r>
        <w:rPr>
          <w:rFonts w:ascii="Calibri" w:hAnsi="Calibri"/>
          <w:b w:val="0"/>
          <w:i w:val="0"/>
          <w:color w:val="1D1D1D"/>
          <w:sz w:val="20"/>
        </w:rPr>
        <w:t>The Company reserves its right to claim compensation for the loss the disclosure has caused and to seek an order restraining any further disclosure. [WHERE THE INFORMATION INCLUDES PERSONAL DATA OF OTHERS: The Company also notes that disclosing personal information in breach of a lawful contract may be a contravention of section 72A of the Information Technology Act, 2000 where the other conditions of that section are met, a matter the Company may take to the adjudicating officer under that Act.]</w:t>
      </w:r>
    </w:p>
    <w:p>
      <w:pPr>
        <w:keepNext w:val="0"/>
        <w:spacing w:after="100" w:before="0"/>
      </w:pPr>
      <w:r>
        <w:rPr>
          <w:rFonts w:ascii="Calibri" w:hAnsi="Calibri"/>
          <w:b w:val="0"/>
          <w:i w:val="0"/>
          <w:color w:val="1D1D1D"/>
          <w:sz w:val="20"/>
        </w:rPr>
        <w:t>[FOR A CURRENT WORKER COVERED BY STANDING ORDERS: Disciplinary proceedings under the standing orders are dealt with separately and will follow the procedure they set.]</w:t>
      </w:r>
    </w:p>
    <w:p>
      <w:pPr>
        <w:keepNext w:val="0"/>
        <w:spacing w:after="100" w:before="0"/>
      </w:pPr>
      <w:r>
        <w:rPr>
          <w:rFonts w:ascii="Calibri" w:hAnsi="Calibri"/>
          <w:b w:val="0"/>
          <w:i w:val="0"/>
          <w:color w:val="1D1D1D"/>
          <w:sz w:val="20"/>
        </w:rPr>
        <w:t>Nothing in this notice waives any right of the Company.</w:t>
      </w:r>
    </w:p>
    <w:p>
      <w:pPr>
        <w:keepNext w:val="0"/>
        <w:spacing w:after="80" w:before="0"/>
      </w:pPr>
      <w:r>
        <w:rPr>
          <w:rFonts w:ascii="Calibri" w:hAnsi="Calibri"/>
          <w:b w:val="0"/>
          <w:i w:val="0"/>
          <w:color w:val="1D1D1D"/>
          <w:sz w:val="21"/>
        </w:rPr>
      </w:r>
    </w:p>
    <w:p>
      <w:pPr>
        <w:keepNext w:val="0"/>
        <w:spacing w:after="24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keepNext w:val="0"/>
        <w:spacing w:after="160" w:before="0"/>
      </w:pPr>
      <w:r>
        <w:rPr>
          <w:rFonts w:ascii="Calibri" w:hAnsi="Calibri"/>
          <w:b/>
          <w:i w:val="0"/>
          <w:color w:val="1D1D1D"/>
          <w:sz w:val="22"/>
        </w:rPr>
        <w:t>UNDERTAKING (sent with Format 07, signed and returned by the recipient)</w:t>
      </w:r>
    </w:p>
    <w:p>
      <w:pPr>
        <w:keepNext w:val="0"/>
        <w:spacing w:after="100" w:before="0"/>
      </w:pPr>
      <w:r>
        <w:rPr>
          <w:rFonts w:ascii="Calibri" w:hAnsi="Calibri"/>
          <w:b w:val="0"/>
          <w:i w:val="0"/>
          <w:color w:val="1D1D1D"/>
          <w:sz w:val="20"/>
        </w:rPr>
        <w:t>I, [NAME], confirm and undertake to [COMPANY NAME] that:</w:t>
      </w:r>
    </w:p>
    <w:p>
      <w:pPr>
        <w:keepNext w:val="0"/>
        <w:spacing w:after="100" w:before="0"/>
      </w:pPr>
      <w:r>
        <w:rPr>
          <w:rFonts w:ascii="Calibri" w:hAnsi="Calibri"/>
          <w:b w:val="0"/>
          <w:i w:val="0"/>
          <w:color w:val="1D1D1D"/>
          <w:sz w:val="20"/>
        </w:rPr>
        <w:t>1. I have returned every copy of the information described in the notice dated [DD-MMM-YYYY] that was in my possession or control, in any form, and have kept none.</w:t>
      </w:r>
    </w:p>
    <w:p>
      <w:pPr>
        <w:keepNext w:val="0"/>
        <w:spacing w:after="100" w:before="0"/>
      </w:pPr>
      <w:r>
        <w:rPr>
          <w:rFonts w:ascii="Calibri" w:hAnsi="Calibri"/>
          <w:b w:val="0"/>
          <w:i w:val="0"/>
          <w:color w:val="1D1D1D"/>
          <w:sz w:val="20"/>
        </w:rPr>
        <w:t>2. Where a copy could not be returned, I have deleted it from each device, account and storage listed here: [LIST, OR 'None'].</w:t>
      </w:r>
    </w:p>
    <w:p>
      <w:pPr>
        <w:keepNext w:val="0"/>
        <w:spacing w:after="100" w:before="0"/>
      </w:pPr>
      <w:r>
        <w:rPr>
          <w:rFonts w:ascii="Calibri" w:hAnsi="Calibri"/>
          <w:b w:val="0"/>
          <w:i w:val="0"/>
          <w:color w:val="1D1D1D"/>
          <w:sz w:val="20"/>
        </w:rPr>
        <w:t>3. The people to whom I gave the information, or any part of it, are: [NAMES, OR 'None'].</w:t>
      </w:r>
    </w:p>
    <w:p>
      <w:pPr>
        <w:keepNext w:val="0"/>
        <w:spacing w:after="100" w:before="0"/>
      </w:pPr>
      <w:r>
        <w:rPr>
          <w:rFonts w:ascii="Calibri" w:hAnsi="Calibri"/>
          <w:b w:val="0"/>
          <w:i w:val="0"/>
          <w:color w:val="1D1D1D"/>
          <w:sz w:val="20"/>
        </w:rPr>
        <w:t>4. I will not use or disclose that information, except as the permitted-disclosure clause of the agreement allows.</w:t>
      </w:r>
    </w:p>
    <w:p>
      <w:pPr>
        <w:keepNext w:val="0"/>
        <w:spacing w:after="100" w:before="0"/>
      </w:pPr>
      <w:r>
        <w:rPr>
          <w:rFonts w:ascii="Calibri" w:hAnsi="Calibri"/>
          <w:b w:val="0"/>
          <w:i w:val="0"/>
          <w:color w:val="1D1D1D"/>
          <w:sz w:val="20"/>
        </w:rPr>
        <w:t>5. This undertaking admits nothing beyond what it says, and gives up no amount due to me.</w:t>
      </w:r>
    </w:p>
    <w:p>
      <w:pPr>
        <w:keepNext w:val="0"/>
        <w:spacing w:after="120" w:before="0"/>
      </w:pPr>
      <w:r>
        <w:rPr>
          <w:rFonts w:ascii="Calibri" w:hAnsi="Calibri"/>
          <w:b w:val="0"/>
          <w:i w:val="0"/>
          <w:color w:val="1D1D1D"/>
          <w:sz w:val="21"/>
        </w:rPr>
      </w:r>
    </w:p>
    <w:p>
      <w:pPr>
        <w:keepNext w:val="0"/>
        <w:spacing w:after="120" w:before="0"/>
      </w:pPr>
      <w:r>
        <w:rPr>
          <w:rFonts w:ascii="Calibri" w:hAnsi="Calibri"/>
          <w:b w:val="0"/>
          <w:i w:val="0"/>
          <w:color w:val="1D1D1D"/>
          <w:sz w:val="20"/>
        </w:rPr>
        <w:t>Signature: ______________________   [NAME]   Date: ______________</w:t>
      </w:r>
    </w:p>
    <w:p>
      <w:r>
        <w:br w:type="page"/>
      </w:r>
    </w:p>
    <w:p>
      <w:pPr>
        <w:pStyle w:val="Heading1"/>
        <w:keepNext/>
        <w:spacing w:after="200" w:before="80"/>
        <w:ind w:left="115"/>
        <w:shd w:val="clear" w:fill="0069A4"/>
      </w:pPr>
      <w:r>
        <w:rPr>
          <w:rFonts w:ascii="Calibri" w:hAnsi="Calibri"/>
          <w:b/>
          <w:color w:val="FFFFFF"/>
          <w:sz w:val="20"/>
        </w:rPr>
        <w:t>FORMAT 08  ·  MANAGER'S GUIDE: WHAT CANNOT GO INTO AN NDA</w:t>
      </w:r>
    </w:p>
    <w:p>
      <w:pPr>
        <w:keepNext w:val="0"/>
        <w:spacing w:after="120" w:before="0"/>
        <w:ind w:left="144"/>
        <w:shd w:val="clear" w:fill="F4FAFE"/>
      </w:pPr>
      <w:r>
        <w:rPr>
          <w:rFonts w:ascii="Calibri" w:hAnsi="Calibri"/>
          <w:b w:val="0"/>
          <w:i/>
          <w:color w:val="565656"/>
          <w:sz w:val="18"/>
        </w:rPr>
        <w:t>Note for HR, delete before sending: One page to check any draft against, yours or a lawyer's. Each line names the section that defeats the clause and what to write instead.</w:t>
      </w:r>
    </w:p>
    <w:p>
      <w:pPr>
        <w:keepNext w:val="0"/>
        <w:spacing w:after="120" w:before="0"/>
        <w:ind w:left="144"/>
      </w:pPr>
      <w:r>
        <w:rPr>
          <w:rFonts w:ascii="Calibri" w:hAnsi="Calibri"/>
          <w:b w:val="0"/>
          <w:i/>
          <w:color w:val="565656"/>
          <w:sz w:val="16"/>
        </w:rPr>
        <w:t>The guide starts below.</w:t>
      </w:r>
    </w:p>
    <w:tbl>
      <w:tblPr>
        <w:tblStyle w:val="TableGrid"/>
        <w:tblW w:type="auto" w:w="0"/>
        <w:tblLook w:firstColumn="1" w:firstRow="1" w:lastColumn="0" w:lastRow="0" w:noHBand="0" w:noVBand="1" w:val="04A0"/>
      </w:tblPr>
      <w:tblGrid>
        <w:gridCol w:w="3297"/>
        <w:gridCol w:w="3297"/>
        <w:gridCol w:w="3297"/>
      </w:tblGrid>
      <w:tr>
        <w:tc>
          <w:tcPr>
            <w:tcW w:type="dxa" w:w="2880"/>
          </w:tcPr>
          <w:p>
            <w:pPr>
              <w:spacing w:after="40"/>
              <w:shd w:val="clear" w:fill="E8F4FC"/>
            </w:pPr>
            <w:r/>
            <w:r>
              <w:rPr>
                <w:rFonts w:ascii="Calibri" w:hAnsi="Calibri"/>
                <w:b/>
                <w:color w:val="0069A4"/>
                <w:sz w:val="17"/>
              </w:rPr>
              <w:t>If the draft says...</w:t>
            </w:r>
          </w:p>
        </w:tc>
        <w:tc>
          <w:tcPr>
            <w:tcW w:type="dxa" w:w="3600"/>
          </w:tcPr>
          <w:p>
            <w:pPr>
              <w:spacing w:after="40"/>
              <w:shd w:val="clear" w:fill="E8F4FC"/>
            </w:pPr>
            <w:r/>
            <w:r>
              <w:rPr>
                <w:rFonts w:ascii="Calibri" w:hAnsi="Calibri"/>
                <w:b/>
                <w:color w:val="0069A4"/>
                <w:sz w:val="17"/>
              </w:rPr>
              <w:t>Why it fails</w:t>
            </w:r>
          </w:p>
        </w:tc>
        <w:tc>
          <w:tcPr>
            <w:tcW w:type="dxa" w:w="2880"/>
          </w:tcPr>
          <w:p>
            <w:pPr>
              <w:spacing w:after="40"/>
              <w:shd w:val="clear" w:fill="E8F4FC"/>
            </w:pPr>
            <w:r/>
            <w:r>
              <w:rPr>
                <w:rFonts w:ascii="Calibri" w:hAnsi="Calibri"/>
                <w:b/>
                <w:color w:val="0069A4"/>
                <w:sz w:val="17"/>
              </w:rPr>
              <w:t>Write instead</w:t>
            </w:r>
          </w:p>
        </w:tc>
      </w:tr>
      <w:tr>
        <w:tc>
          <w:tcPr>
            <w:tcW w:type="dxa" w:w="2880"/>
          </w:tcPr>
          <w:p>
            <w:pPr>
              <w:spacing w:after="40"/>
            </w:pPr>
            <w:r/>
            <w:r>
              <w:rPr>
                <w:rFonts w:ascii="Calibri" w:hAnsi="Calibri"/>
                <w:color w:val="565656"/>
                <w:sz w:val="17"/>
              </w:rPr>
              <w:t>A non-compete after employment, however short or local</w:t>
            </w:r>
          </w:p>
        </w:tc>
        <w:tc>
          <w:tcPr>
            <w:tcW w:type="dxa" w:w="3600"/>
          </w:tcPr>
          <w:p>
            <w:pPr>
              <w:spacing w:after="40"/>
            </w:pPr>
            <w:r/>
            <w:r>
              <w:rPr>
                <w:rFonts w:ascii="Calibri" w:hAnsi="Calibri"/>
                <w:color w:val="565656"/>
                <w:sz w:val="17"/>
              </w:rPr>
              <w:t>Contract Act s.27: void to that extent; the operative words carry no test of reasonableness</w:t>
            </w:r>
          </w:p>
        </w:tc>
        <w:tc>
          <w:tcPr>
            <w:tcW w:type="dxa" w:w="2880"/>
          </w:tcPr>
          <w:p>
            <w:pPr>
              <w:spacing w:after="40"/>
            </w:pPr>
            <w:r/>
            <w:r>
              <w:rPr>
                <w:rFonts w:ascii="Calibri" w:hAnsi="Calibri"/>
                <w:color w:val="565656"/>
                <w:sz w:val="17"/>
              </w:rPr>
              <w:t>Delete it. Protect the information through Formats 01 to 03</w:t>
            </w:r>
          </w:p>
        </w:tc>
      </w:tr>
      <w:tr>
        <w:tc>
          <w:tcPr>
            <w:tcW w:type="dxa" w:w="2880"/>
          </w:tcPr>
          <w:p>
            <w:pPr>
              <w:spacing w:after="40"/>
            </w:pPr>
            <w:r/>
            <w:r>
              <w:rPr>
                <w:rFonts w:ascii="Calibri" w:hAnsi="Calibri"/>
                <w:color w:val="565656"/>
                <w:sz w:val="17"/>
              </w:rPr>
              <w:t>A bar on using 'knowledge, skill and experience' gained in the job</w:t>
            </w:r>
          </w:p>
        </w:tc>
        <w:tc>
          <w:tcPr>
            <w:tcW w:type="dxa" w:w="3600"/>
          </w:tcPr>
          <w:p>
            <w:pPr>
              <w:spacing w:after="40"/>
            </w:pPr>
            <w:r/>
            <w:r>
              <w:rPr>
                <w:rFonts w:ascii="Calibri" w:hAnsi="Calibri"/>
                <w:color w:val="565656"/>
                <w:sz w:val="17"/>
              </w:rPr>
              <w:t>A non-compete in other words: skill and experience are what a profession consists of</w:t>
            </w:r>
          </w:p>
        </w:tc>
        <w:tc>
          <w:tcPr>
            <w:tcW w:type="dxa" w:w="2880"/>
          </w:tcPr>
          <w:p>
            <w:pPr>
              <w:spacing w:after="40"/>
            </w:pPr>
            <w:r/>
            <w:r>
              <w:rPr>
                <w:rFonts w:ascii="Calibri" w:hAnsi="Calibri"/>
                <w:color w:val="565656"/>
                <w:sz w:val="17"/>
              </w:rPr>
              <w:t>Schedule the categories of information, and carve general skill out</w:t>
            </w:r>
          </w:p>
        </w:tc>
      </w:tr>
      <w:tr>
        <w:tc>
          <w:tcPr>
            <w:tcW w:type="dxa" w:w="2880"/>
          </w:tcPr>
          <w:p>
            <w:pPr>
              <w:spacing w:after="40"/>
            </w:pPr>
            <w:r/>
            <w:r>
              <w:rPr>
                <w:rFonts w:ascii="Calibri" w:hAnsi="Calibri"/>
                <w:color w:val="565656"/>
                <w:sz w:val="17"/>
              </w:rPr>
              <w:t>'Confidential Information means all information of the Company'</w:t>
            </w:r>
          </w:p>
        </w:tc>
        <w:tc>
          <w:tcPr>
            <w:tcW w:type="dxa" w:w="3600"/>
          </w:tcPr>
          <w:p>
            <w:pPr>
              <w:spacing w:after="40"/>
            </w:pPr>
            <w:r/>
            <w:r>
              <w:rPr>
                <w:rFonts w:ascii="Calibri" w:hAnsi="Calibri"/>
                <w:color w:val="565656"/>
                <w:sz w:val="17"/>
              </w:rPr>
              <w:t>Unenforceable in practice: a court restrains a named category, not everything</w:t>
            </w:r>
          </w:p>
        </w:tc>
        <w:tc>
          <w:tcPr>
            <w:tcW w:type="dxa" w:w="2880"/>
          </w:tcPr>
          <w:p>
            <w:pPr>
              <w:spacing w:after="40"/>
            </w:pPr>
            <w:r/>
            <w:r>
              <w:rPr>
                <w:rFonts w:ascii="Calibri" w:hAnsi="Calibri"/>
                <w:color w:val="565656"/>
                <w:sz w:val="17"/>
              </w:rPr>
              <w:t>Fill Format 03</w:t>
            </w:r>
          </w:p>
        </w:tc>
      </w:tr>
      <w:tr>
        <w:tc>
          <w:tcPr>
            <w:tcW w:type="dxa" w:w="2880"/>
          </w:tcPr>
          <w:p>
            <w:pPr>
              <w:spacing w:after="40"/>
            </w:pPr>
            <w:r/>
            <w:r>
              <w:rPr>
                <w:rFonts w:ascii="Calibri" w:hAnsi="Calibri"/>
                <w:color w:val="565656"/>
                <w:sz w:val="17"/>
              </w:rPr>
              <w:t>A penalty of a round sum on any breach</w:t>
            </w:r>
          </w:p>
        </w:tc>
        <w:tc>
          <w:tcPr>
            <w:tcW w:type="dxa" w:w="3600"/>
          </w:tcPr>
          <w:p>
            <w:pPr>
              <w:spacing w:after="40"/>
            </w:pPr>
            <w:r/>
            <w:r>
              <w:rPr>
                <w:rFonts w:ascii="Calibri" w:hAnsi="Calibri"/>
                <w:color w:val="565656"/>
                <w:sz w:val="17"/>
              </w:rPr>
              <w:t>Contract Act s.74: a ceiling on reasonable compensation, not a debt that falls due</w:t>
            </w:r>
          </w:p>
        </w:tc>
        <w:tc>
          <w:tcPr>
            <w:tcW w:type="dxa" w:w="2880"/>
          </w:tcPr>
          <w:p>
            <w:pPr>
              <w:spacing w:after="40"/>
            </w:pPr>
            <w:r/>
            <w:r>
              <w:rPr>
                <w:rFonts w:ascii="Calibri" w:hAnsi="Calibri"/>
                <w:color w:val="565656"/>
                <w:sz w:val="17"/>
              </w:rPr>
              <w:t>Claim the loss under s.73; name no sum, or name one you can justify</w:t>
            </w:r>
          </w:p>
        </w:tc>
      </w:tr>
      <w:tr>
        <w:tc>
          <w:tcPr>
            <w:tcW w:type="dxa" w:w="2880"/>
          </w:tcPr>
          <w:p>
            <w:pPr>
              <w:spacing w:after="40"/>
            </w:pPr>
            <w:r/>
            <w:r>
              <w:rPr>
                <w:rFonts w:ascii="Calibri" w:hAnsi="Calibri"/>
                <w:color w:val="565656"/>
                <w:sz w:val="17"/>
              </w:rPr>
              <w:t>Garden leave that runs past the last working day, or on reduced pay</w:t>
            </w:r>
          </w:p>
        </w:tc>
        <w:tc>
          <w:tcPr>
            <w:tcW w:type="dxa" w:w="3600"/>
          </w:tcPr>
          <w:p>
            <w:pPr>
              <w:spacing w:after="40"/>
            </w:pPr>
            <w:r/>
            <w:r>
              <w:rPr>
                <w:rFonts w:ascii="Calibri" w:hAnsi="Calibri"/>
                <w:color w:val="565656"/>
                <w:sz w:val="17"/>
              </w:rPr>
              <w:t>After the last day it is a non-compete in other words (s.27). During notice, on our reading, it is not, but the pay is wages and a cut is a deduction the Code on Wages does not allow (s.18)</w:t>
            </w:r>
          </w:p>
        </w:tc>
        <w:tc>
          <w:tcPr>
            <w:tcW w:type="dxa" w:w="2880"/>
          </w:tcPr>
          <w:p>
            <w:pPr>
              <w:spacing w:after="40"/>
            </w:pPr>
            <w:r/>
            <w:r>
              <w:rPr>
                <w:rFonts w:ascii="Calibri" w:hAnsi="Calibri"/>
                <w:color w:val="565656"/>
                <w:sz w:val="17"/>
              </w:rPr>
              <w:t>Keep it inside the notice period, on full pay</w:t>
            </w:r>
          </w:p>
        </w:tc>
      </w:tr>
      <w:tr>
        <w:tc>
          <w:tcPr>
            <w:tcW w:type="dxa" w:w="2880"/>
          </w:tcPr>
          <w:p>
            <w:pPr>
              <w:spacing w:after="40"/>
            </w:pPr>
            <w:r/>
            <w:r>
              <w:rPr>
                <w:rFonts w:ascii="Calibri" w:hAnsi="Calibri"/>
                <w:color w:val="565656"/>
                <w:sz w:val="17"/>
              </w:rPr>
              <w:t>Recovery of that sum from salary or the final settlement</w:t>
            </w:r>
          </w:p>
        </w:tc>
        <w:tc>
          <w:tcPr>
            <w:tcW w:type="dxa" w:w="3600"/>
          </w:tcPr>
          <w:p>
            <w:pPr>
              <w:spacing w:after="40"/>
            </w:pPr>
            <w:r/>
            <w:r>
              <w:rPr>
                <w:rFonts w:ascii="Calibri" w:hAnsi="Calibri"/>
                <w:color w:val="565656"/>
                <w:sz w:val="17"/>
              </w:rPr>
              <w:t>Code on Wages s.18: deductions are a closed list, capped at 50 per cent, and s.60 voids an agreement to waive wages</w:t>
            </w:r>
          </w:p>
        </w:tc>
        <w:tc>
          <w:tcPr>
            <w:tcW w:type="dxa" w:w="2880"/>
          </w:tcPr>
          <w:p>
            <w:pPr>
              <w:spacing w:after="40"/>
            </w:pPr>
            <w:r/>
            <w:r>
              <w:rPr>
                <w:rFonts w:ascii="Calibri" w:hAnsi="Calibri"/>
                <w:color w:val="565656"/>
                <w:sz w:val="17"/>
              </w:rPr>
              <w:t>Recover a judgment debt, never a deduction</w:t>
            </w:r>
          </w:p>
        </w:tc>
      </w:tr>
      <w:tr>
        <w:tc>
          <w:tcPr>
            <w:tcW w:type="dxa" w:w="2880"/>
          </w:tcPr>
          <w:p>
            <w:pPr>
              <w:spacing w:after="40"/>
            </w:pPr>
            <w:r/>
            <w:r>
              <w:rPr>
                <w:rFonts w:ascii="Calibri" w:hAnsi="Calibri"/>
                <w:color w:val="565656"/>
                <w:sz w:val="17"/>
              </w:rPr>
              <w:t>'All intellectual property shall vest in the Company'</w:t>
            </w:r>
          </w:p>
        </w:tc>
        <w:tc>
          <w:tcPr>
            <w:tcW w:type="dxa" w:w="3600"/>
          </w:tcPr>
          <w:p>
            <w:pPr>
              <w:spacing w:after="40"/>
            </w:pPr>
            <w:r/>
            <w:r>
              <w:rPr>
                <w:rFonts w:ascii="Calibri" w:hAnsi="Calibri"/>
                <w:color w:val="565656"/>
                <w:sz w:val="17"/>
              </w:rPr>
              <w:t>Copyright Act s.19(5) and (6): an assignment naming no period runs five years and stops at India</w:t>
            </w:r>
          </w:p>
        </w:tc>
        <w:tc>
          <w:tcPr>
            <w:tcW w:type="dxa" w:w="2880"/>
          </w:tcPr>
          <w:p>
            <w:pPr>
              <w:spacing w:after="40"/>
            </w:pPr>
            <w:r/>
            <w:r>
              <w:rPr>
                <w:rFonts w:ascii="Calibri" w:hAnsi="Calibri"/>
                <w:color w:val="565656"/>
                <w:sz w:val="17"/>
              </w:rPr>
              <w:t>Format 04: name the work, the rights, the term and the territory</w:t>
            </w:r>
          </w:p>
        </w:tc>
      </w:tr>
      <w:tr>
        <w:tc>
          <w:tcPr>
            <w:tcW w:type="dxa" w:w="2880"/>
          </w:tcPr>
          <w:p>
            <w:pPr>
              <w:spacing w:after="40"/>
            </w:pPr>
            <w:r/>
            <w:r>
              <w:rPr>
                <w:rFonts w:ascii="Calibri" w:hAnsi="Calibri"/>
                <w:color w:val="565656"/>
                <w:sz w:val="17"/>
              </w:rPr>
              <w:t>Silence on patents</w:t>
            </w:r>
          </w:p>
        </w:tc>
        <w:tc>
          <w:tcPr>
            <w:tcW w:type="dxa" w:w="3600"/>
          </w:tcPr>
          <w:p>
            <w:pPr>
              <w:spacing w:after="40"/>
            </w:pPr>
            <w:r/>
            <w:r>
              <w:rPr>
                <w:rFonts w:ascii="Calibri" w:hAnsi="Calibri"/>
                <w:color w:val="565656"/>
                <w:sz w:val="17"/>
              </w:rPr>
              <w:t>Patents Act s.6(1): no employer default; the inventor applies</w:t>
            </w:r>
          </w:p>
        </w:tc>
        <w:tc>
          <w:tcPr>
            <w:tcW w:type="dxa" w:w="2880"/>
          </w:tcPr>
          <w:p>
            <w:pPr>
              <w:spacing w:after="40"/>
            </w:pPr>
            <w:r/>
            <w:r>
              <w:rPr>
                <w:rFonts w:ascii="Calibri" w:hAnsi="Calibri"/>
                <w:color w:val="565656"/>
                <w:sz w:val="17"/>
              </w:rPr>
              <w:t>Format 04 assigns the right to apply (s.6(1)(b)), and the patent once granted, in writing (s.68)</w:t>
            </w:r>
          </w:p>
        </w:tc>
      </w:tr>
      <w:tr>
        <w:tc>
          <w:tcPr>
            <w:tcW w:type="dxa" w:w="2880"/>
          </w:tcPr>
          <w:p>
            <w:pPr>
              <w:spacing w:after="40"/>
            </w:pPr>
            <w:r/>
            <w:r>
              <w:rPr>
                <w:rFonts w:ascii="Calibri" w:hAnsi="Calibri"/>
                <w:color w:val="565656"/>
                <w:sz w:val="17"/>
              </w:rPr>
              <w:t>An invention clause with no end date, or one reaching the employee's own time and equipment</w:t>
            </w:r>
          </w:p>
        </w:tc>
        <w:tc>
          <w:tcPr>
            <w:tcW w:type="dxa" w:w="3600"/>
          </w:tcPr>
          <w:p>
            <w:pPr>
              <w:spacing w:after="40"/>
            </w:pPr>
            <w:r/>
            <w:r>
              <w:rPr>
                <w:rFonts w:ascii="Calibri" w:hAnsi="Calibri"/>
                <w:color w:val="565656"/>
                <w:sz w:val="17"/>
              </w:rPr>
              <w:t>On our reading, assigning what the employee invents after leaving restrains the work they do next (s.27)</w:t>
            </w:r>
          </w:p>
        </w:tc>
        <w:tc>
          <w:tcPr>
            <w:tcW w:type="dxa" w:w="2880"/>
          </w:tcPr>
          <w:p>
            <w:pPr>
              <w:spacing w:after="40"/>
            </w:pPr>
            <w:r/>
            <w:r>
              <w:rPr>
                <w:rFonts w:ascii="Calibri" w:hAnsi="Calibri"/>
                <w:color w:val="565656"/>
                <w:sz w:val="17"/>
              </w:rPr>
              <w:t>Format 04: inventions made during the employment, in its course or with your resources</w:t>
            </w:r>
          </w:p>
        </w:tc>
      </w:tr>
      <w:tr>
        <w:tc>
          <w:tcPr>
            <w:tcW w:type="dxa" w:w="2880"/>
          </w:tcPr>
          <w:p>
            <w:pPr>
              <w:spacing w:after="40"/>
            </w:pPr>
            <w:r/>
            <w:r>
              <w:rPr>
                <w:rFonts w:ascii="Calibri" w:hAnsi="Calibri"/>
                <w:color w:val="565656"/>
                <w:sz w:val="17"/>
              </w:rPr>
              <w:t>'The Employee is solely responsible for any data breach'</w:t>
            </w:r>
          </w:p>
        </w:tc>
        <w:tc>
          <w:tcPr>
            <w:tcW w:type="dxa" w:w="3600"/>
          </w:tcPr>
          <w:p>
            <w:pPr>
              <w:spacing w:after="40"/>
            </w:pPr>
            <w:r/>
            <w:r>
              <w:rPr>
                <w:rFonts w:ascii="Calibri" w:hAnsi="Calibri"/>
                <w:color w:val="565656"/>
                <w:sz w:val="17"/>
              </w:rPr>
              <w:t>DPDP Act s.8(1): the employer is responsible irrespective of any agreement to the contrary</w:t>
            </w:r>
          </w:p>
        </w:tc>
        <w:tc>
          <w:tcPr>
            <w:tcW w:type="dxa" w:w="2880"/>
          </w:tcPr>
          <w:p>
            <w:pPr>
              <w:spacing w:after="40"/>
            </w:pPr>
            <w:r/>
            <w:r>
              <w:rPr>
                <w:rFonts w:ascii="Calibri" w:hAnsi="Calibri"/>
                <w:color w:val="565656"/>
                <w:sz w:val="17"/>
              </w:rPr>
              <w:t>Keep the duty on the employee, keep the responsibility where the Act puts it</w:t>
            </w:r>
          </w:p>
        </w:tc>
      </w:tr>
      <w:tr>
        <w:tc>
          <w:tcPr>
            <w:tcW w:type="dxa" w:w="2880"/>
          </w:tcPr>
          <w:p>
            <w:pPr>
              <w:spacing w:after="40"/>
            </w:pPr>
            <w:r/>
            <w:r>
              <w:rPr>
                <w:rFonts w:ascii="Calibri" w:hAnsi="Calibri"/>
                <w:color w:val="565656"/>
                <w:sz w:val="17"/>
              </w:rPr>
              <w:t>A duty that continues 'in perpetuity' for everything</w:t>
            </w:r>
          </w:p>
        </w:tc>
        <w:tc>
          <w:tcPr>
            <w:tcW w:type="dxa" w:w="3600"/>
          </w:tcPr>
          <w:p>
            <w:pPr>
              <w:spacing w:after="40"/>
            </w:pPr>
            <w:r/>
            <w:r>
              <w:rPr>
                <w:rFonts w:ascii="Calibri" w:hAnsi="Calibri"/>
                <w:color w:val="565656"/>
                <w:sz w:val="17"/>
              </w:rPr>
              <w:t>On our reading, a duty outlasting the information's confidentiality restrains more than information</w:t>
            </w:r>
          </w:p>
        </w:tc>
        <w:tc>
          <w:tcPr>
            <w:tcW w:type="dxa" w:w="2880"/>
          </w:tcPr>
          <w:p>
            <w:pPr>
              <w:spacing w:after="40"/>
            </w:pPr>
            <w:r/>
            <w:r>
              <w:rPr>
                <w:rFonts w:ascii="Calibri" w:hAnsi="Calibri"/>
                <w:color w:val="565656"/>
                <w:sz w:val="17"/>
              </w:rPr>
              <w:t>Tie the duration to the information remaining confidential</w:t>
            </w:r>
          </w:p>
        </w:tc>
      </w:tr>
      <w:tr>
        <w:tc>
          <w:tcPr>
            <w:tcW w:type="dxa" w:w="2880"/>
          </w:tcPr>
          <w:p>
            <w:pPr>
              <w:spacing w:after="40"/>
            </w:pPr>
            <w:r/>
            <w:r>
              <w:rPr>
                <w:rFonts w:ascii="Calibri" w:hAnsi="Calibri"/>
                <w:color w:val="565656"/>
                <w:sz w:val="17"/>
              </w:rPr>
              <w:t>A bar on complaining to any authority</w:t>
            </w:r>
          </w:p>
        </w:tc>
        <w:tc>
          <w:tcPr>
            <w:tcW w:type="dxa" w:w="3600"/>
          </w:tcPr>
          <w:p>
            <w:pPr>
              <w:spacing w:after="40"/>
            </w:pPr>
            <w:r/>
            <w:r>
              <w:rPr>
                <w:rFonts w:ascii="Calibri" w:hAnsi="Calibri"/>
                <w:color w:val="565656"/>
                <w:sz w:val="17"/>
              </w:rPr>
              <w:t>Contract Act s.23: an object that would defeat a law is unlawful</w:t>
            </w:r>
          </w:p>
        </w:tc>
        <w:tc>
          <w:tcPr>
            <w:tcW w:type="dxa" w:w="2880"/>
          </w:tcPr>
          <w:p>
            <w:pPr>
              <w:spacing w:after="40"/>
            </w:pPr>
            <w:r/>
            <w:r>
              <w:rPr>
                <w:rFonts w:ascii="Calibri" w:hAnsi="Calibri"/>
                <w:color w:val="565656"/>
                <w:sz w:val="17"/>
              </w:rPr>
              <w:t>Keep the permitted-disclosure clause, which names the Internal Committee, labour authorities and the employee's own lawyer</w:t>
            </w:r>
          </w:p>
        </w:tc>
      </w:tr>
      <w:tr>
        <w:tc>
          <w:tcPr>
            <w:tcW w:type="dxa" w:w="2880"/>
          </w:tcPr>
          <w:p>
            <w:pPr>
              <w:spacing w:after="40"/>
            </w:pPr>
            <w:r/>
            <w:r>
              <w:rPr>
                <w:rFonts w:ascii="Calibri" w:hAnsi="Calibri"/>
                <w:color w:val="565656"/>
                <w:sz w:val="17"/>
              </w:rPr>
              <w:t>The employee NDA used for a consultant</w:t>
            </w:r>
          </w:p>
        </w:tc>
        <w:tc>
          <w:tcPr>
            <w:tcW w:type="dxa" w:w="3600"/>
          </w:tcPr>
          <w:p>
            <w:pPr>
              <w:spacing w:after="40"/>
            </w:pPr>
            <w:r/>
            <w:r>
              <w:rPr>
                <w:rFonts w:ascii="Calibri" w:hAnsi="Calibri"/>
                <w:color w:val="565656"/>
                <w:sz w:val="17"/>
              </w:rPr>
              <w:t>Copyright Act s.17(c) reaches a contract of service only; DPDP s.8(2) needs a valid contract for a processor serving your customers</w:t>
            </w:r>
          </w:p>
        </w:tc>
        <w:tc>
          <w:tcPr>
            <w:tcW w:type="dxa" w:w="2880"/>
          </w:tcPr>
          <w:p>
            <w:pPr>
              <w:spacing w:after="40"/>
            </w:pPr>
            <w:r/>
            <w:r>
              <w:rPr>
                <w:rFonts w:ascii="Calibri" w:hAnsi="Calibri"/>
                <w:color w:val="565656"/>
                <w:sz w:val="17"/>
              </w:rPr>
              <w:t>Format 06</w:t>
            </w:r>
          </w:p>
        </w:tc>
      </w:tr>
      <w:tr>
        <w:tc>
          <w:tcPr>
            <w:tcW w:type="dxa" w:w="2880"/>
          </w:tcPr>
          <w:p>
            <w:pPr>
              <w:spacing w:after="40"/>
            </w:pPr>
            <w:r/>
            <w:r>
              <w:rPr>
                <w:rFonts w:ascii="Calibri" w:hAnsi="Calibri"/>
                <w:color w:val="565656"/>
                <w:sz w:val="17"/>
              </w:rPr>
              <w:t>An assignment silent on lapse</w:t>
            </w:r>
          </w:p>
        </w:tc>
        <w:tc>
          <w:tcPr>
            <w:tcW w:type="dxa" w:w="3600"/>
          </w:tcPr>
          <w:p>
            <w:pPr>
              <w:spacing w:after="40"/>
            </w:pPr>
            <w:r/>
            <w:r>
              <w:rPr>
                <w:rFonts w:ascii="Calibri" w:hAnsi="Calibri"/>
                <w:color w:val="565656"/>
                <w:sz w:val="17"/>
              </w:rPr>
              <w:t>Copyright Act s.19(4): a right not exercised within one year lapses unless the assignment says otherwise</w:t>
            </w:r>
          </w:p>
        </w:tc>
        <w:tc>
          <w:tcPr>
            <w:tcW w:type="dxa" w:w="2880"/>
          </w:tcPr>
          <w:p>
            <w:pPr>
              <w:spacing w:after="40"/>
            </w:pPr>
            <w:r/>
            <w:r>
              <w:rPr>
                <w:rFonts w:ascii="Calibri" w:hAnsi="Calibri"/>
                <w:color w:val="565656"/>
                <w:sz w:val="17"/>
              </w:rPr>
              <w:t>Formats 04 and 06 say otherwise</w:t>
            </w:r>
          </w:p>
        </w:tc>
      </w:tr>
    </w:tbl>
    <w:p>
      <w:r>
        <w:br w:type="page"/>
      </w:r>
    </w:p>
    <w:p>
      <w:pPr>
        <w:pStyle w:val="Heading1"/>
        <w:keepNext/>
        <w:spacing w:after="200" w:before="80"/>
        <w:ind w:left="115"/>
        <w:shd w:val="clear" w:fill="008CDB"/>
      </w:pPr>
      <w:r>
        <w:rPr>
          <w:rFonts w:ascii="Calibri" w:hAnsi="Calibri"/>
          <w:b/>
          <w:color w:val="FFFFFF"/>
          <w:sz w:val="22"/>
        </w:rPr>
        <w:t>8.  EIGHT MISTAKES</w:t>
      </w:r>
    </w:p>
    <w:p>
      <w:pPr>
        <w:pStyle w:val="Heading2"/>
        <w:keepNext/>
        <w:spacing w:after="60" w:before="160"/>
      </w:pPr>
      <w:r>
        <w:rPr>
          <w:rFonts w:ascii="Calibri" w:hAnsi="Calibri"/>
          <w:b/>
          <w:color w:val="1D1D1D"/>
          <w:sz w:val="21"/>
        </w:rPr>
        <w:t>1.  Calling a non-compete an NDA</w:t>
      </w:r>
    </w:p>
    <w:p>
      <w:pPr>
        <w:keepNext w:val="0"/>
        <w:spacing w:after="120" w:before="0"/>
      </w:pPr>
      <w:r>
        <w:rPr>
          <w:rFonts w:ascii="Calibri" w:hAnsi="Calibri"/>
          <w:b w:val="0"/>
          <w:i w:val="0"/>
          <w:color w:val="1D1D1D"/>
          <w:sz w:val="20"/>
        </w:rPr>
        <w:t>The confidentiality half is an ordinary contract and holds. The no-rival-employer half is void to that extent under section 27, and no period or city brings it back. Keep the two apart, and keep only one.</w:t>
      </w:r>
    </w:p>
    <w:p>
      <w:pPr>
        <w:pStyle w:val="Heading2"/>
        <w:keepNext/>
        <w:spacing w:after="60" w:before="160"/>
      </w:pPr>
      <w:r>
        <w:rPr>
          <w:rFonts w:ascii="Calibri" w:hAnsi="Calibri"/>
          <w:b/>
          <w:color w:val="1D1D1D"/>
          <w:sz w:val="21"/>
        </w:rPr>
        <w:t>2.  Barring 'knowledge, skill and experience'</w:t>
      </w:r>
    </w:p>
    <w:p>
      <w:pPr>
        <w:keepNext w:val="0"/>
        <w:spacing w:after="120" w:before="0"/>
      </w:pPr>
      <w:r>
        <w:rPr>
          <w:rFonts w:ascii="Calibri" w:hAnsi="Calibri"/>
          <w:b w:val="0"/>
          <w:i w:val="0"/>
          <w:color w:val="1D1D1D"/>
          <w:sz w:val="20"/>
        </w:rPr>
        <w:t>A clause stopping the employee using what they learned is a non-compete in other words, because skill and experience are what a profession consists of. Schedule the categories of information and carve general skill out.</w:t>
      </w:r>
    </w:p>
    <w:p>
      <w:pPr>
        <w:pStyle w:val="Heading2"/>
        <w:keepNext/>
        <w:spacing w:after="60" w:before="160"/>
      </w:pPr>
      <w:r>
        <w:rPr>
          <w:rFonts w:ascii="Calibri" w:hAnsi="Calibri"/>
          <w:b/>
          <w:color w:val="1D1D1D"/>
          <w:sz w:val="21"/>
        </w:rPr>
        <w:t>3.  Recovering the penalty from the last salary</w:t>
      </w:r>
    </w:p>
    <w:p>
      <w:pPr>
        <w:keepNext w:val="0"/>
        <w:spacing w:after="120" w:before="0"/>
      </w:pPr>
      <w:r>
        <w:rPr>
          <w:rFonts w:ascii="Calibri" w:hAnsi="Calibri"/>
          <w:b w:val="0"/>
          <w:i w:val="0"/>
          <w:color w:val="1D1D1D"/>
          <w:sz w:val="20"/>
        </w:rPr>
        <w:t>The Code on Wages allows only the deductions it lists, a breach of contract is not one, and an agreement to give up wages is void. A sum named in the NDA is a ceiling on compensation, not a debt. Pay the settlement in full and claim the loss separately.</w:t>
      </w:r>
    </w:p>
    <w:p>
      <w:pPr>
        <w:pStyle w:val="Heading2"/>
        <w:keepNext/>
        <w:spacing w:after="60" w:before="160"/>
      </w:pPr>
      <w:r>
        <w:rPr>
          <w:rFonts w:ascii="Calibri" w:hAnsi="Calibri"/>
          <w:b/>
          <w:color w:val="1D1D1D"/>
          <w:sz w:val="21"/>
        </w:rPr>
        <w:t>4.  Assuming the company owns every invention</w:t>
      </w:r>
    </w:p>
    <w:p>
      <w:pPr>
        <w:keepNext w:val="0"/>
        <w:spacing w:after="120" w:before="0"/>
      </w:pPr>
      <w:r>
        <w:rPr>
          <w:rFonts w:ascii="Calibri" w:hAnsi="Calibri"/>
          <w:b w:val="0"/>
          <w:i w:val="0"/>
          <w:color w:val="1D1D1D"/>
          <w:sz w:val="20"/>
        </w:rPr>
        <w:t>Copyright in a work made in the course of employment vests in the employer by default. A patent has no employer default: without a written assignment of the right to apply, the employee is the person entitled to apply.</w:t>
      </w:r>
    </w:p>
    <w:p>
      <w:pPr>
        <w:pStyle w:val="Heading2"/>
        <w:keepNext/>
        <w:spacing w:after="60" w:before="160"/>
      </w:pPr>
      <w:r>
        <w:rPr>
          <w:rFonts w:ascii="Calibri" w:hAnsi="Calibri"/>
          <w:b/>
          <w:color w:val="1D1D1D"/>
          <w:sz w:val="21"/>
        </w:rPr>
        <w:t>5.  Treating a leak as misconduct with no enquiry</w:t>
      </w:r>
    </w:p>
    <w:p>
      <w:pPr>
        <w:keepNext w:val="0"/>
        <w:spacing w:after="120" w:before="0"/>
      </w:pPr>
      <w:r>
        <w:rPr>
          <w:rFonts w:ascii="Calibri" w:hAnsi="Calibri"/>
          <w:b w:val="0"/>
          <w:i w:val="0"/>
          <w:color w:val="1D1D1D"/>
          <w:sz w:val="20"/>
        </w:rPr>
        <w:t>Disclosure of confidential information is listed misconduct under the Model Standing Orders, where they apply. Listed misconduct means a charge sheet and an enquiry under the standing orders, not a dismissal by email.</w:t>
      </w:r>
    </w:p>
    <w:p>
      <w:pPr>
        <w:pStyle w:val="Heading2"/>
        <w:keepNext/>
        <w:spacing w:after="60" w:before="160"/>
      </w:pPr>
      <w:r>
        <w:rPr>
          <w:rFonts w:ascii="Calibri" w:hAnsi="Calibri"/>
          <w:b/>
          <w:color w:val="1D1D1D"/>
          <w:sz w:val="21"/>
        </w:rPr>
        <w:t>6.  Shifting your data duties onto the employee</w:t>
      </w:r>
    </w:p>
    <w:p>
      <w:pPr>
        <w:keepNext w:val="0"/>
        <w:spacing w:after="120" w:before="0"/>
      </w:pPr>
      <w:r>
        <w:rPr>
          <w:rFonts w:ascii="Calibri" w:hAnsi="Calibri"/>
          <w:b w:val="0"/>
          <w:i w:val="0"/>
          <w:color w:val="1D1D1D"/>
          <w:sz w:val="20"/>
        </w:rPr>
        <w:t>From 13-May-2027, under the DPDP Act the Data Fiduciary is responsible irrespective of any agreement to the contrary. A clause making the employee 'solely responsible' adds a duty on them and removes none from you.</w:t>
      </w:r>
    </w:p>
    <w:p>
      <w:pPr>
        <w:pStyle w:val="Heading2"/>
        <w:keepNext/>
        <w:spacing w:after="60" w:before="160"/>
      </w:pPr>
      <w:r>
        <w:rPr>
          <w:rFonts w:ascii="Calibri" w:hAnsi="Calibri"/>
          <w:b/>
          <w:color w:val="1D1D1D"/>
          <w:sz w:val="21"/>
        </w:rPr>
        <w:t>7.  Treating everything as confidential</w:t>
      </w:r>
    </w:p>
    <w:p>
      <w:pPr>
        <w:keepNext w:val="0"/>
        <w:spacing w:after="120" w:before="0"/>
      </w:pPr>
      <w:r>
        <w:rPr>
          <w:rFonts w:ascii="Calibri" w:hAnsi="Calibri"/>
          <w:b w:val="0"/>
          <w:i w:val="0"/>
          <w:color w:val="1D1D1D"/>
          <w:sz w:val="20"/>
        </w:rPr>
        <w:t>'All information of the Company' protects nothing a court can restrain. A schedule of named categories, with carve-outs, is what makes the agreement work.</w:t>
      </w:r>
    </w:p>
    <w:p>
      <w:pPr>
        <w:pStyle w:val="Heading2"/>
        <w:keepNext/>
        <w:spacing w:after="60" w:before="160"/>
      </w:pPr>
      <w:r>
        <w:rPr>
          <w:rFonts w:ascii="Calibri" w:hAnsi="Calibri"/>
          <w:b/>
          <w:color w:val="1D1D1D"/>
          <w:sz w:val="21"/>
        </w:rPr>
        <w:t>8.  Using the employee NDA for a consultant</w:t>
      </w:r>
    </w:p>
    <w:p>
      <w:pPr>
        <w:keepNext w:val="0"/>
        <w:spacing w:after="120" w:before="0"/>
      </w:pPr>
      <w:r>
        <w:rPr>
          <w:rFonts w:ascii="Calibri" w:hAnsi="Calibri"/>
          <w:b w:val="0"/>
          <w:i w:val="0"/>
          <w:color w:val="1D1D1D"/>
          <w:sz w:val="20"/>
        </w:rPr>
        <w:t>The copyright default reaches a contract of service only, and a consultant who handles personal data for you must be engaged under a valid contract. Format 06 carries both.</w:t>
      </w:r>
    </w:p>
    <w:p>
      <w:r>
        <w:br w:type="page"/>
      </w:r>
    </w:p>
    <w:p>
      <w:pPr>
        <w:pStyle w:val="Heading1"/>
        <w:keepNext/>
        <w:spacing w:after="200" w:before="80"/>
        <w:ind w:left="115"/>
        <w:shd w:val="clear" w:fill="008CDB"/>
      </w:pPr>
      <w:r>
        <w:rPr>
          <w:rFonts w:ascii="Calibri" w:hAnsi="Calibri"/>
          <w:b/>
          <w:color w:val="FFFFFF"/>
          <w:sz w:val="22"/>
        </w:rPr>
        <w:t>9.  WHAT THIS PACK COULD NOT SETTLE</w:t>
      </w:r>
    </w:p>
    <w:p>
      <w:pPr>
        <w:keepNext w:val="0"/>
        <w:spacing w:after="160" w:before="0"/>
      </w:pPr>
      <w:r>
        <w:rPr>
          <w:rFonts w:ascii="Calibri" w:hAnsi="Calibri"/>
          <w:b w:val="0"/>
          <w:i w:val="0"/>
          <w:color w:val="565656"/>
          <w:sz w:val="20"/>
        </w:rPr>
        <w:t>Said plainly, so a gap is not read as an answer.</w:t>
      </w:r>
    </w:p>
    <w:p>
      <w:pPr>
        <w:keepNext w:val="0"/>
        <w:spacing w:after="60" w:before="0"/>
        <w:ind w:left="360"/>
      </w:pPr>
      <w:r>
        <w:rPr>
          <w:rFonts w:ascii="Calibri" w:hAnsi="Calibri"/>
          <w:b w:val="0"/>
          <w:i w:val="0"/>
          <w:color w:val="1D1D1D"/>
          <w:sz w:val="20"/>
        </w:rPr>
        <w:t>•  Whether a non-solicitation covenant that runs after employment survives section 27. On our reading, a bar on actively inducing a colleague to leave restrains conduct rather than a profession and is the strongest form; a bar on dealing with former customers restrains trade. No judgment was opened for this pack, and Format 01 keeps the post-employment limb optional and narrow.</w:t>
      </w:r>
    </w:p>
    <w:p>
      <w:pPr>
        <w:keepNext w:val="0"/>
        <w:spacing w:after="60" w:before="0"/>
        <w:ind w:left="360"/>
      </w:pPr>
      <w:r>
        <w:rPr>
          <w:rFonts w:ascii="Calibri" w:hAnsi="Calibri"/>
          <w:b w:val="0"/>
          <w:i w:val="0"/>
          <w:color w:val="1D1D1D"/>
          <w:sz w:val="20"/>
        </w:rPr>
        <w:t>•  Where the line between a restraint during employment and one after it falls under section 27. The section does not draw it; the courts have. No government copy of a judgment could be opened from this machine, so the pack argues from the statute and says where it stops.</w:t>
      </w:r>
    </w:p>
    <w:p>
      <w:pPr>
        <w:keepNext w:val="0"/>
        <w:spacing w:after="60" w:before="0"/>
        <w:ind w:left="360"/>
      </w:pPr>
      <w:r>
        <w:rPr>
          <w:rFonts w:ascii="Calibri" w:hAnsi="Calibri"/>
          <w:b w:val="0"/>
          <w:i w:val="0"/>
          <w:color w:val="1D1D1D"/>
          <w:sz w:val="20"/>
        </w:rPr>
        <w:t>•  How long a confidentiality duty can run once the information has stopped being confidential. The pack ties the duration to the information remaining confidential, on our reading the only duration that restrains information and not the person.</w:t>
      </w:r>
    </w:p>
    <w:p>
      <w:pPr>
        <w:keepNext w:val="0"/>
        <w:spacing w:after="60" w:before="0"/>
        <w:ind w:left="360"/>
      </w:pPr>
      <w:r>
        <w:rPr>
          <w:rFonts w:ascii="Calibri" w:hAnsi="Calibri"/>
          <w:b w:val="0"/>
          <w:i w:val="0"/>
          <w:color w:val="1D1D1D"/>
          <w:sz w:val="20"/>
        </w:rPr>
        <w:t>•  Stamp duty on the agreement. It is a State matter, an unstamped instrument may be inadmissible in evidence, and nothing was read for this pack. Ask locally before signing. In practice: before the first signing, ask your CA, a local advocate or the State's stamp office what an employee agreement and an IP assignment attract in your State, and whether e-stamping is available; have the stamp paper or e-stamp certificate ready for the signing, and use the same answer for every hire.</w:t>
      </w:r>
    </w:p>
    <w:p>
      <w:pPr>
        <w:keepNext w:val="0"/>
        <w:spacing w:after="60" w:before="0"/>
        <w:ind w:left="360"/>
      </w:pPr>
      <w:r>
        <w:rPr>
          <w:rFonts w:ascii="Calibri" w:hAnsi="Calibri"/>
          <w:b w:val="0"/>
          <w:i w:val="0"/>
          <w:color w:val="1D1D1D"/>
          <w:sz w:val="20"/>
        </w:rPr>
        <w:t>•  Whether India has a trade secrets statute. We found none: protection rests on contract, the Copyright Act and the Patents Act. The Law Commission's Report No. 289, March 2024, recommended one and appended a draft Protection of Trade Secrets Bill, 2024; we found nothing enacted. Check before relying on 'trade secret' as a legal category.</w:t>
      </w:r>
    </w:p>
    <w:p>
      <w:pPr>
        <w:keepNext w:val="0"/>
        <w:spacing w:after="60" w:before="0"/>
        <w:ind w:left="360"/>
      </w:pPr>
      <w:r>
        <w:rPr>
          <w:rFonts w:ascii="Calibri" w:hAnsi="Calibri"/>
          <w:b w:val="0"/>
          <w:i w:val="0"/>
          <w:color w:val="1D1D1D"/>
          <w:sz w:val="20"/>
        </w:rPr>
        <w:t>•  The reach of section 72A of the IT Act. It catches disclosure of 'personal information about another person' by someone who secured access 'while providing services under the terms of lawful contract'. On our reading an employee's access under the employment contract is that, and a leak of a price list or a drawing, holding no personal information, is outside it. The Act does not define personal information. Since 30-Nov-2023 it carries a penalty, not imprisonment, so it is a matter for the adjudicating officer, not the police.</w:t>
      </w:r>
    </w:p>
    <w:p>
      <w:r>
        <w:br w:type="page"/>
      </w:r>
    </w:p>
    <w:p>
      <w:pPr>
        <w:pStyle w:val="Heading1"/>
        <w:keepNext/>
        <w:spacing w:after="200" w:before="80"/>
        <w:ind w:left="115"/>
        <w:shd w:val="clear" w:fill="008CDB"/>
      </w:pPr>
      <w:r>
        <w:rPr>
          <w:rFonts w:ascii="Calibri" w:hAnsi="Calibri"/>
          <w:b/>
          <w:color w:val="FFFFFF"/>
          <w:sz w:val="22"/>
        </w:rPr>
        <w:t>10.  FORTY CITATIONS</w:t>
      </w:r>
    </w:p>
    <w:p>
      <w:pPr>
        <w:keepNext w:val="0"/>
        <w:spacing w:after="160" w:before="0"/>
      </w:pPr>
      <w:r>
        <w:rPr>
          <w:rFonts w:ascii="Calibri" w:hAnsi="Calibri"/>
          <w:b w:val="0"/>
          <w:i w:val="0"/>
          <w:color w:val="565656"/>
          <w:sz w:val="20"/>
        </w:rPr>
        <w:t>Each read at its own provision in the official text, 27-Oct-2026.</w:t>
      </w:r>
    </w:p>
    <w:tbl>
      <w:tblPr>
        <w:tblStyle w:val="TableGrid"/>
        <w:tblW w:type="auto" w:w="0"/>
        <w:tblLook w:firstColumn="1" w:firstRow="1" w:lastColumn="0" w:lastRow="0" w:noHBand="0" w:noVBand="1" w:val="04A0"/>
      </w:tblPr>
      <w:tblGrid>
        <w:gridCol w:w="4945"/>
        <w:gridCol w:w="4945"/>
      </w:tblGrid>
      <w:tr>
        <w:tc>
          <w:tcPr>
            <w:tcW w:type="dxa" w:w="4176"/>
          </w:tcPr>
          <w:p>
            <w:pPr>
              <w:spacing w:after="40"/>
              <w:shd w:val="clear" w:fill="E8F4FC"/>
            </w:pPr>
            <w:r/>
            <w:r>
              <w:rPr>
                <w:rFonts w:ascii="Calibri" w:hAnsi="Calibri"/>
                <w:b/>
                <w:color w:val="0069A4"/>
                <w:sz w:val="17"/>
              </w:rPr>
              <w:t>Provision</w:t>
            </w:r>
          </w:p>
        </w:tc>
        <w:tc>
          <w:tcPr>
            <w:tcW w:type="dxa" w:w="5472"/>
          </w:tcPr>
          <w:p>
            <w:pPr>
              <w:spacing w:after="40"/>
              <w:shd w:val="clear" w:fill="E8F4FC"/>
            </w:pPr>
            <w:r/>
            <w:r>
              <w:rPr>
                <w:rFonts w:ascii="Calibri" w:hAnsi="Calibri"/>
                <w:b/>
                <w:color w:val="0069A4"/>
                <w:sz w:val="17"/>
              </w:rPr>
              <w:t>What it decides</w:t>
            </w:r>
          </w:p>
        </w:tc>
      </w:tr>
      <w:tr>
        <w:tc>
          <w:tcPr>
            <w:tcW w:type="dxa" w:w="4176"/>
          </w:tcPr>
          <w:p>
            <w:pPr>
              <w:spacing w:after="40"/>
            </w:pPr>
            <w:r/>
            <w:r>
              <w:rPr>
                <w:rFonts w:ascii="Calibri" w:hAnsi="Calibri"/>
                <w:color w:val="565656"/>
                <w:sz w:val="17"/>
              </w:rPr>
              <w:t>Indian Contract Act, 1872, s.10 and s.11</w:t>
            </w:r>
          </w:p>
        </w:tc>
        <w:tc>
          <w:tcPr>
            <w:tcW w:type="dxa" w:w="5472"/>
          </w:tcPr>
          <w:p>
            <w:pPr>
              <w:spacing w:after="40"/>
            </w:pPr>
            <w:r/>
            <w:r>
              <w:rPr>
                <w:rFonts w:ascii="Calibri" w:hAnsi="Calibri"/>
                <w:color w:val="565656"/>
                <w:sz w:val="17"/>
              </w:rPr>
              <w:t>All agreements are contracts if made by free consent, for a lawful consideration and with a lawful object: a confidentiality agreement is one; only a person of the age of majority and of sound mind is competent to contract</w:t>
            </w:r>
          </w:p>
        </w:tc>
      </w:tr>
      <w:tr>
        <w:tc>
          <w:tcPr>
            <w:tcW w:type="dxa" w:w="4176"/>
          </w:tcPr>
          <w:p>
            <w:pPr>
              <w:spacing w:after="40"/>
            </w:pPr>
            <w:r/>
            <w:r>
              <w:rPr>
                <w:rFonts w:ascii="Calibri" w:hAnsi="Calibri"/>
                <w:color w:val="565656"/>
                <w:sz w:val="17"/>
              </w:rPr>
              <w:t>Indian Contract Act, 1872, s.27</w:t>
            </w:r>
          </w:p>
        </w:tc>
        <w:tc>
          <w:tcPr>
            <w:tcW w:type="dxa" w:w="5472"/>
          </w:tcPr>
          <w:p>
            <w:pPr>
              <w:spacing w:after="40"/>
            </w:pPr>
            <w:r/>
            <w:r>
              <w:rPr>
                <w:rFonts w:ascii="Calibri" w:hAnsi="Calibri"/>
                <w:color w:val="565656"/>
                <w:sz w:val="17"/>
              </w:rPr>
              <w:t>An agreement restraining anyone from exercising a lawful profession, trade or business is to that extent void</w:t>
            </w:r>
          </w:p>
        </w:tc>
      </w:tr>
      <w:tr>
        <w:tc>
          <w:tcPr>
            <w:tcW w:type="dxa" w:w="4176"/>
          </w:tcPr>
          <w:p>
            <w:pPr>
              <w:spacing w:after="40"/>
            </w:pPr>
            <w:r/>
            <w:r>
              <w:rPr>
                <w:rFonts w:ascii="Calibri" w:hAnsi="Calibri"/>
                <w:color w:val="565656"/>
                <w:sz w:val="17"/>
              </w:rPr>
              <w:t>Indian Contract Act, 1872, s.27, Exception 1</w:t>
            </w:r>
          </w:p>
        </w:tc>
        <w:tc>
          <w:tcPr>
            <w:tcW w:type="dxa" w:w="5472"/>
          </w:tcPr>
          <w:p>
            <w:pPr>
              <w:spacing w:after="40"/>
            </w:pPr>
            <w:r/>
            <w:r>
              <w:rPr>
                <w:rFonts w:ascii="Calibri" w:hAnsi="Calibri"/>
                <w:color w:val="565656"/>
                <w:sz w:val="17"/>
              </w:rPr>
              <w:t>The one exception: a seller of goodwill may agree not to compete within local limits the Court finds reasonable</w:t>
            </w:r>
          </w:p>
        </w:tc>
      </w:tr>
      <w:tr>
        <w:tc>
          <w:tcPr>
            <w:tcW w:type="dxa" w:w="4176"/>
          </w:tcPr>
          <w:p>
            <w:pPr>
              <w:spacing w:after="40"/>
            </w:pPr>
            <w:r/>
            <w:r>
              <w:rPr>
                <w:rFonts w:ascii="Calibri" w:hAnsi="Calibri"/>
                <w:color w:val="565656"/>
                <w:sz w:val="17"/>
              </w:rPr>
              <w:t>Indian Contract Act, 1872, s.73</w:t>
            </w:r>
          </w:p>
        </w:tc>
        <w:tc>
          <w:tcPr>
            <w:tcW w:type="dxa" w:w="5472"/>
          </w:tcPr>
          <w:p>
            <w:pPr>
              <w:spacing w:after="40"/>
            </w:pPr>
            <w:r/>
            <w:r>
              <w:rPr>
                <w:rFonts w:ascii="Calibri" w:hAnsi="Calibri"/>
                <w:color w:val="565656"/>
                <w:sz w:val="17"/>
              </w:rPr>
              <w:t>Compensation for loss that naturally arose from the breach, or that the parties knew was likely; nothing for remote and indirect loss</w:t>
            </w:r>
          </w:p>
        </w:tc>
      </w:tr>
      <w:tr>
        <w:tc>
          <w:tcPr>
            <w:tcW w:type="dxa" w:w="4176"/>
          </w:tcPr>
          <w:p>
            <w:pPr>
              <w:spacing w:after="40"/>
            </w:pPr>
            <w:r/>
            <w:r>
              <w:rPr>
                <w:rFonts w:ascii="Calibri" w:hAnsi="Calibri"/>
                <w:color w:val="565656"/>
                <w:sz w:val="17"/>
              </w:rPr>
              <w:t>Indian Contract Act, 1872, s.74</w:t>
            </w:r>
          </w:p>
        </w:tc>
        <w:tc>
          <w:tcPr>
            <w:tcW w:type="dxa" w:w="5472"/>
          </w:tcPr>
          <w:p>
            <w:pPr>
              <w:spacing w:after="40"/>
            </w:pPr>
            <w:r/>
            <w:r>
              <w:rPr>
                <w:rFonts w:ascii="Calibri" w:hAnsi="Calibri"/>
                <w:color w:val="565656"/>
                <w:sz w:val="17"/>
              </w:rPr>
              <w:t>Where a sum is named for a breach, reasonable compensation not exceeding that sum, whether or not loss is proved</w:t>
            </w:r>
          </w:p>
        </w:tc>
      </w:tr>
      <w:tr>
        <w:tc>
          <w:tcPr>
            <w:tcW w:type="dxa" w:w="4176"/>
          </w:tcPr>
          <w:p>
            <w:pPr>
              <w:spacing w:after="40"/>
            </w:pPr>
            <w:r/>
            <w:r>
              <w:rPr>
                <w:rFonts w:ascii="Calibri" w:hAnsi="Calibri"/>
                <w:color w:val="565656"/>
                <w:sz w:val="17"/>
              </w:rPr>
              <w:t>Specific Relief Act, 1963, s.14(c)</w:t>
            </w:r>
          </w:p>
        </w:tc>
        <w:tc>
          <w:tcPr>
            <w:tcW w:type="dxa" w:w="5472"/>
          </w:tcPr>
          <w:p>
            <w:pPr>
              <w:spacing w:after="40"/>
            </w:pPr>
            <w:r/>
            <w:r>
              <w:rPr>
                <w:rFonts w:ascii="Calibri" w:hAnsi="Calibri"/>
                <w:color w:val="565656"/>
                <w:sz w:val="17"/>
              </w:rPr>
              <w:t>A contract so dependent on personal qualifications that its material terms cannot be enforced is not specifically enforceable</w:t>
            </w:r>
          </w:p>
        </w:tc>
      </w:tr>
      <w:tr>
        <w:tc>
          <w:tcPr>
            <w:tcW w:type="dxa" w:w="4176"/>
          </w:tcPr>
          <w:p>
            <w:pPr>
              <w:spacing w:after="40"/>
            </w:pPr>
            <w:r/>
            <w:r>
              <w:rPr>
                <w:rFonts w:ascii="Calibri" w:hAnsi="Calibri"/>
                <w:color w:val="565656"/>
                <w:sz w:val="17"/>
              </w:rPr>
              <w:t>Specific Relief Act, 1963, s.41(e)</w:t>
            </w:r>
          </w:p>
        </w:tc>
        <w:tc>
          <w:tcPr>
            <w:tcW w:type="dxa" w:w="5472"/>
          </w:tcPr>
          <w:p>
            <w:pPr>
              <w:spacing w:after="40"/>
            </w:pPr>
            <w:r/>
            <w:r>
              <w:rPr>
                <w:rFonts w:ascii="Calibri" w:hAnsi="Calibri"/>
                <w:color w:val="565656"/>
                <w:sz w:val="17"/>
              </w:rPr>
              <w:t>No injunction to prevent the breach of a contract that would not be specifically enforced</w:t>
            </w:r>
          </w:p>
        </w:tc>
      </w:tr>
      <w:tr>
        <w:tc>
          <w:tcPr>
            <w:tcW w:type="dxa" w:w="4176"/>
          </w:tcPr>
          <w:p>
            <w:pPr>
              <w:spacing w:after="40"/>
            </w:pPr>
            <w:r/>
            <w:r>
              <w:rPr>
                <w:rFonts w:ascii="Calibri" w:hAnsi="Calibri"/>
                <w:color w:val="565656"/>
                <w:sz w:val="17"/>
              </w:rPr>
              <w:t>Specific Relief Act, 1963, s.42</w:t>
            </w:r>
          </w:p>
        </w:tc>
        <w:tc>
          <w:tcPr>
            <w:tcW w:type="dxa" w:w="5472"/>
          </w:tcPr>
          <w:p>
            <w:pPr>
              <w:spacing w:after="40"/>
            </w:pPr>
            <w:r/>
            <w:r>
              <w:rPr>
                <w:rFonts w:ascii="Calibri" w:hAnsi="Calibri"/>
                <w:color w:val="565656"/>
                <w:sz w:val="17"/>
              </w:rPr>
              <w:t>Notwithstanding s.41(e), an injunction to perform a negative agreement coupled with an affirmative one, if the plaintiff has performed</w:t>
            </w:r>
          </w:p>
        </w:tc>
      </w:tr>
      <w:tr>
        <w:tc>
          <w:tcPr>
            <w:tcW w:type="dxa" w:w="4176"/>
          </w:tcPr>
          <w:p>
            <w:pPr>
              <w:spacing w:after="40"/>
            </w:pPr>
            <w:r/>
            <w:r>
              <w:rPr>
                <w:rFonts w:ascii="Calibri" w:hAnsi="Calibri"/>
                <w:color w:val="565656"/>
                <w:sz w:val="17"/>
              </w:rPr>
              <w:t>Copyright Act, 1957, s.17, proviso (c)</w:t>
            </w:r>
          </w:p>
        </w:tc>
        <w:tc>
          <w:tcPr>
            <w:tcW w:type="dxa" w:w="5472"/>
          </w:tcPr>
          <w:p>
            <w:pPr>
              <w:spacing w:after="40"/>
            </w:pPr>
            <w:r/>
            <w:r>
              <w:rPr>
                <w:rFonts w:ascii="Calibri" w:hAnsi="Calibri"/>
                <w:color w:val="565656"/>
                <w:sz w:val="17"/>
              </w:rPr>
              <w:t>A work made in the course of employment under a contract of service: the employer is first owner, absent agreement to the contrary</w:t>
            </w:r>
          </w:p>
        </w:tc>
      </w:tr>
      <w:tr>
        <w:tc>
          <w:tcPr>
            <w:tcW w:type="dxa" w:w="4176"/>
          </w:tcPr>
          <w:p>
            <w:pPr>
              <w:spacing w:after="40"/>
            </w:pPr>
            <w:r/>
            <w:r>
              <w:rPr>
                <w:rFonts w:ascii="Calibri" w:hAnsi="Calibri"/>
                <w:color w:val="565656"/>
                <w:sz w:val="17"/>
              </w:rPr>
              <w:t>Copyright Act, 1957, s.19(1) and (2)</w:t>
            </w:r>
          </w:p>
        </w:tc>
        <w:tc>
          <w:tcPr>
            <w:tcW w:type="dxa" w:w="5472"/>
          </w:tcPr>
          <w:p>
            <w:pPr>
              <w:spacing w:after="40"/>
            </w:pPr>
            <w:r/>
            <w:r>
              <w:rPr>
                <w:rFonts w:ascii="Calibri" w:hAnsi="Calibri"/>
                <w:color w:val="565656"/>
                <w:sz w:val="17"/>
              </w:rPr>
              <w:t>An assignment is valid only in writing signed by the assignor, identifying the work and specifying the rights, the duration and the territory</w:t>
            </w:r>
          </w:p>
        </w:tc>
      </w:tr>
      <w:tr>
        <w:tc>
          <w:tcPr>
            <w:tcW w:type="dxa" w:w="4176"/>
          </w:tcPr>
          <w:p>
            <w:pPr>
              <w:spacing w:after="40"/>
            </w:pPr>
            <w:r/>
            <w:r>
              <w:rPr>
                <w:rFonts w:ascii="Calibri" w:hAnsi="Calibri"/>
                <w:color w:val="565656"/>
                <w:sz w:val="17"/>
              </w:rPr>
              <w:t>Copyright Act, 1957, s.19(4)</w:t>
            </w:r>
          </w:p>
        </w:tc>
        <w:tc>
          <w:tcPr>
            <w:tcW w:type="dxa" w:w="5472"/>
          </w:tcPr>
          <w:p>
            <w:pPr>
              <w:spacing w:after="40"/>
            </w:pPr>
            <w:r/>
            <w:r>
              <w:rPr>
                <w:rFonts w:ascii="Calibri" w:hAnsi="Calibri"/>
                <w:color w:val="565656"/>
                <w:sz w:val="17"/>
              </w:rPr>
              <w:t>A right the assignee does not exercise within one year lapses, unless the assignment specifies otherwise</w:t>
            </w:r>
          </w:p>
        </w:tc>
      </w:tr>
      <w:tr>
        <w:tc>
          <w:tcPr>
            <w:tcW w:type="dxa" w:w="4176"/>
          </w:tcPr>
          <w:p>
            <w:pPr>
              <w:spacing w:after="40"/>
            </w:pPr>
            <w:r/>
            <w:r>
              <w:rPr>
                <w:rFonts w:ascii="Calibri" w:hAnsi="Calibri"/>
                <w:color w:val="565656"/>
                <w:sz w:val="17"/>
              </w:rPr>
              <w:t>Copyright Act, 1957, s.19(5) and (6)</w:t>
            </w:r>
          </w:p>
        </w:tc>
        <w:tc>
          <w:tcPr>
            <w:tcW w:type="dxa" w:w="5472"/>
          </w:tcPr>
          <w:p>
            <w:pPr>
              <w:spacing w:after="40"/>
            </w:pPr>
            <w:r/>
            <w:r>
              <w:rPr>
                <w:rFonts w:ascii="Calibri" w:hAnsi="Calibri"/>
                <w:color w:val="565656"/>
                <w:sz w:val="17"/>
              </w:rPr>
              <w:t>No period stated: five years; no territory stated: India</w:t>
            </w:r>
          </w:p>
        </w:tc>
      </w:tr>
      <w:tr>
        <w:tc>
          <w:tcPr>
            <w:tcW w:type="dxa" w:w="4176"/>
          </w:tcPr>
          <w:p>
            <w:pPr>
              <w:spacing w:after="40"/>
            </w:pPr>
            <w:r/>
            <w:r>
              <w:rPr>
                <w:rFonts w:ascii="Calibri" w:hAnsi="Calibri"/>
                <w:color w:val="565656"/>
                <w:sz w:val="17"/>
              </w:rPr>
              <w:t>Copyright Act, 1957, s.57</w:t>
            </w:r>
          </w:p>
        </w:tc>
        <w:tc>
          <w:tcPr>
            <w:tcW w:type="dxa" w:w="5472"/>
          </w:tcPr>
          <w:p>
            <w:pPr>
              <w:spacing w:after="40"/>
            </w:pPr>
            <w:r/>
            <w:r>
              <w:rPr>
                <w:rFonts w:ascii="Calibri" w:hAnsi="Calibri"/>
                <w:color w:val="565656"/>
                <w:sz w:val="17"/>
              </w:rPr>
              <w:t>The author's special rights survive an assignment</w:t>
            </w:r>
          </w:p>
        </w:tc>
      </w:tr>
      <w:tr>
        <w:tc>
          <w:tcPr>
            <w:tcW w:type="dxa" w:w="4176"/>
          </w:tcPr>
          <w:p>
            <w:pPr>
              <w:spacing w:after="40"/>
            </w:pPr>
            <w:r/>
            <w:r>
              <w:rPr>
                <w:rFonts w:ascii="Calibri" w:hAnsi="Calibri"/>
                <w:color w:val="565656"/>
                <w:sz w:val="17"/>
              </w:rPr>
              <w:t>Patents Act, 1970, s.6(1)</w:t>
            </w:r>
          </w:p>
        </w:tc>
        <w:tc>
          <w:tcPr>
            <w:tcW w:type="dxa" w:w="5472"/>
          </w:tcPr>
          <w:p>
            <w:pPr>
              <w:spacing w:after="40"/>
            </w:pPr>
            <w:r/>
            <w:r>
              <w:rPr>
                <w:rFonts w:ascii="Calibri" w:hAnsi="Calibri"/>
                <w:color w:val="565656"/>
                <w:sz w:val="17"/>
              </w:rPr>
              <w:t>An application is made by the true and first inventor, or by the assignee of the right to apply</w:t>
            </w:r>
          </w:p>
        </w:tc>
      </w:tr>
      <w:tr>
        <w:tc>
          <w:tcPr>
            <w:tcW w:type="dxa" w:w="4176"/>
          </w:tcPr>
          <w:p>
            <w:pPr>
              <w:spacing w:after="40"/>
            </w:pPr>
            <w:r/>
            <w:r>
              <w:rPr>
                <w:rFonts w:ascii="Calibri" w:hAnsi="Calibri"/>
                <w:color w:val="565656"/>
                <w:sz w:val="17"/>
              </w:rPr>
              <w:t>Patents Act, 1970, s.7(2)</w:t>
            </w:r>
          </w:p>
        </w:tc>
        <w:tc>
          <w:tcPr>
            <w:tcW w:type="dxa" w:w="5472"/>
          </w:tcPr>
          <w:p>
            <w:pPr>
              <w:spacing w:after="40"/>
            </w:pPr>
            <w:r/>
            <w:r>
              <w:rPr>
                <w:rFonts w:ascii="Calibri" w:hAnsi="Calibri"/>
                <w:color w:val="565656"/>
                <w:sz w:val="17"/>
              </w:rPr>
              <w:t>An application made by virtue of an assignment of the right to apply carries proof of that right, with it or within the prescribed period after it</w:t>
            </w:r>
          </w:p>
        </w:tc>
      </w:tr>
      <w:tr>
        <w:tc>
          <w:tcPr>
            <w:tcW w:type="dxa" w:w="4176"/>
          </w:tcPr>
          <w:p>
            <w:pPr>
              <w:spacing w:after="40"/>
            </w:pPr>
            <w:r/>
            <w:r>
              <w:rPr>
                <w:rFonts w:ascii="Calibri" w:hAnsi="Calibri"/>
                <w:color w:val="565656"/>
                <w:sz w:val="17"/>
              </w:rPr>
              <w:t>Patents Act, 1970, s.68</w:t>
            </w:r>
          </w:p>
        </w:tc>
        <w:tc>
          <w:tcPr>
            <w:tcW w:type="dxa" w:w="5472"/>
          </w:tcPr>
          <w:p>
            <w:pPr>
              <w:spacing w:after="40"/>
            </w:pPr>
            <w:r/>
            <w:r>
              <w:rPr>
                <w:rFonts w:ascii="Calibri" w:hAnsi="Calibri"/>
                <w:color w:val="565656"/>
                <w:sz w:val="17"/>
              </w:rPr>
              <w:t>An assignment of a patent, meaning one granted (s.2(1)(m)), or any interest in it, is valid only in writing, in a document embodying all the terms, duly executed</w:t>
            </w:r>
          </w:p>
        </w:tc>
      </w:tr>
      <w:tr>
        <w:tc>
          <w:tcPr>
            <w:tcW w:type="dxa" w:w="4176"/>
          </w:tcPr>
          <w:p>
            <w:pPr>
              <w:spacing w:after="40"/>
            </w:pPr>
            <w:r/>
            <w:r>
              <w:rPr>
                <w:rFonts w:ascii="Calibri" w:hAnsi="Calibri"/>
                <w:color w:val="565656"/>
                <w:sz w:val="17"/>
              </w:rPr>
              <w:t>Information Technology Act, 2000, s.72A</w:t>
            </w:r>
          </w:p>
        </w:tc>
        <w:tc>
          <w:tcPr>
            <w:tcW w:type="dxa" w:w="5472"/>
          </w:tcPr>
          <w:p>
            <w:pPr>
              <w:spacing w:after="40"/>
            </w:pPr>
            <w:r/>
            <w:r>
              <w:rPr>
                <w:rFonts w:ascii="Calibri" w:hAnsi="Calibri"/>
                <w:color w:val="565656"/>
                <w:sz w:val="17"/>
              </w:rPr>
              <w:t>Disclosing personal information about another person, secured while providing services under a lawful contract, in breach of that contract: a penalty up to ₹25,00,000</w:t>
            </w:r>
          </w:p>
        </w:tc>
      </w:tr>
      <w:tr>
        <w:tc>
          <w:tcPr>
            <w:tcW w:type="dxa" w:w="4176"/>
          </w:tcPr>
          <w:p>
            <w:pPr>
              <w:spacing w:after="40"/>
            </w:pPr>
            <w:r/>
            <w:r>
              <w:rPr>
                <w:rFonts w:ascii="Calibri" w:hAnsi="Calibri"/>
                <w:color w:val="565656"/>
                <w:sz w:val="17"/>
              </w:rPr>
              <w:t>Jan Vishwas (Amendment of Provisions) Act, 2023, Schedule</w:t>
            </w:r>
          </w:p>
        </w:tc>
        <w:tc>
          <w:tcPr>
            <w:tcW w:type="dxa" w:w="5472"/>
          </w:tcPr>
          <w:p>
            <w:pPr>
              <w:spacing w:after="40"/>
            </w:pPr>
            <w:r/>
            <w:r>
              <w:rPr>
                <w:rFonts w:ascii="Calibri" w:hAnsi="Calibri"/>
                <w:color w:val="565656"/>
                <w:sz w:val="17"/>
              </w:rPr>
              <w:t>Replaced s.72A's three years or ₹5,00,000 fine with that penalty, and widened s.46 from 'this Chapter' to 'this Act', in force for the IT Act from 30-Nov-2023 (S.O. 4745(E), 31-Oct-2023)</w:t>
            </w:r>
          </w:p>
        </w:tc>
      </w:tr>
      <w:tr>
        <w:tc>
          <w:tcPr>
            <w:tcW w:type="dxa" w:w="4176"/>
          </w:tcPr>
          <w:p>
            <w:pPr>
              <w:spacing w:after="40"/>
            </w:pPr>
            <w:r/>
            <w:r>
              <w:rPr>
                <w:rFonts w:ascii="Calibri" w:hAnsi="Calibri"/>
                <w:color w:val="565656"/>
                <w:sz w:val="17"/>
              </w:rPr>
              <w:t>Information Technology Act, 2000, s.46</w:t>
            </w:r>
          </w:p>
        </w:tc>
        <w:tc>
          <w:tcPr>
            <w:tcW w:type="dxa" w:w="5472"/>
          </w:tcPr>
          <w:p>
            <w:pPr>
              <w:spacing w:after="40"/>
            </w:pPr>
            <w:r/>
            <w:r>
              <w:rPr>
                <w:rFonts w:ascii="Calibri" w:hAnsi="Calibri"/>
                <w:color w:val="565656"/>
                <w:sz w:val="17"/>
              </w:rPr>
              <w:t>An adjudicating officer decides penalties and compensation under the Act, for claims up to ₹5 crore</w:t>
            </w:r>
          </w:p>
        </w:tc>
      </w:tr>
      <w:tr>
        <w:tc>
          <w:tcPr>
            <w:tcW w:type="dxa" w:w="4176"/>
          </w:tcPr>
          <w:p>
            <w:pPr>
              <w:spacing w:after="40"/>
            </w:pPr>
            <w:r/>
            <w:r>
              <w:rPr>
                <w:rFonts w:ascii="Calibri" w:hAnsi="Calibri"/>
                <w:color w:val="565656"/>
                <w:sz w:val="17"/>
              </w:rPr>
              <w:t>Information Technology Act, 2000, s.43(b)</w:t>
            </w:r>
          </w:p>
        </w:tc>
        <w:tc>
          <w:tcPr>
            <w:tcW w:type="dxa" w:w="5472"/>
          </w:tcPr>
          <w:p>
            <w:pPr>
              <w:spacing w:after="40"/>
            </w:pPr>
            <w:r/>
            <w:r>
              <w:rPr>
                <w:rFonts w:ascii="Calibri" w:hAnsi="Calibri"/>
                <w:color w:val="565656"/>
                <w:sz w:val="17"/>
              </w:rPr>
              <w:t>Downloading, copying or extracting data without the permission of the owner or person in charge: damages by way of compensation</w:t>
            </w:r>
          </w:p>
        </w:tc>
      </w:tr>
      <w:tr>
        <w:tc>
          <w:tcPr>
            <w:tcW w:type="dxa" w:w="4176"/>
          </w:tcPr>
          <w:p>
            <w:pPr>
              <w:spacing w:after="40"/>
            </w:pPr>
            <w:r/>
            <w:r>
              <w:rPr>
                <w:rFonts w:ascii="Calibri" w:hAnsi="Calibri"/>
                <w:color w:val="565656"/>
                <w:sz w:val="17"/>
              </w:rPr>
              <w:t>Information Technology Act, 2000, s.66</w:t>
            </w:r>
          </w:p>
        </w:tc>
        <w:tc>
          <w:tcPr>
            <w:tcW w:type="dxa" w:w="5472"/>
          </w:tcPr>
          <w:p>
            <w:pPr>
              <w:spacing w:after="40"/>
            </w:pPr>
            <w:r/>
            <w:r>
              <w:rPr>
                <w:rFonts w:ascii="Calibri" w:hAnsi="Calibri"/>
                <w:color w:val="565656"/>
                <w:sz w:val="17"/>
              </w:rPr>
              <w:t>A s.43 act done dishonestly or fraudulently: up to three years or ₹5,00,000 or both</w:t>
            </w:r>
          </w:p>
        </w:tc>
      </w:tr>
      <w:tr>
        <w:tc>
          <w:tcPr>
            <w:tcW w:type="dxa" w:w="4176"/>
          </w:tcPr>
          <w:p>
            <w:pPr>
              <w:spacing w:after="40"/>
            </w:pPr>
            <w:r/>
            <w:r>
              <w:rPr>
                <w:rFonts w:ascii="Calibri" w:hAnsi="Calibri"/>
                <w:color w:val="565656"/>
                <w:sz w:val="17"/>
              </w:rPr>
              <w:t>Information Technology Act, 2000, s.77B</w:t>
            </w:r>
          </w:p>
        </w:tc>
        <w:tc>
          <w:tcPr>
            <w:tcW w:type="dxa" w:w="5472"/>
          </w:tcPr>
          <w:p>
            <w:pPr>
              <w:spacing w:after="40"/>
            </w:pPr>
            <w:r/>
            <w:r>
              <w:rPr>
                <w:rFonts w:ascii="Calibri" w:hAnsi="Calibri"/>
                <w:color w:val="565656"/>
                <w:sz w:val="17"/>
              </w:rPr>
              <w:t>An offence punishable with three years, such as one under s.66, is bailable</w:t>
            </w:r>
          </w:p>
        </w:tc>
      </w:tr>
      <w:tr>
        <w:tc>
          <w:tcPr>
            <w:tcW w:type="dxa" w:w="4176"/>
          </w:tcPr>
          <w:p>
            <w:pPr>
              <w:spacing w:after="40"/>
            </w:pPr>
            <w:r/>
            <w:r>
              <w:rPr>
                <w:rFonts w:ascii="Calibri" w:hAnsi="Calibri"/>
                <w:color w:val="565656"/>
                <w:sz w:val="17"/>
              </w:rPr>
              <w:t>Information Technology Act, 2000, s.85</w:t>
            </w:r>
          </w:p>
        </w:tc>
        <w:tc>
          <w:tcPr>
            <w:tcW w:type="dxa" w:w="5472"/>
          </w:tcPr>
          <w:p>
            <w:pPr>
              <w:spacing w:after="40"/>
            </w:pPr>
            <w:r/>
            <w:r>
              <w:rPr>
                <w:rFonts w:ascii="Calibri" w:hAnsi="Calibri"/>
                <w:color w:val="565656"/>
                <w:sz w:val="17"/>
              </w:rPr>
              <w:t>Where a company commits a contravention, the person in charge is liable too, unless it was without their knowledge or they exercised all due diligence</w:t>
            </w:r>
          </w:p>
        </w:tc>
      </w:tr>
      <w:tr>
        <w:tc>
          <w:tcPr>
            <w:tcW w:type="dxa" w:w="4176"/>
          </w:tcPr>
          <w:p>
            <w:pPr>
              <w:spacing w:after="40"/>
            </w:pPr>
            <w:r/>
            <w:r>
              <w:rPr>
                <w:rFonts w:ascii="Calibri" w:hAnsi="Calibri"/>
                <w:color w:val="565656"/>
                <w:sz w:val="17"/>
              </w:rPr>
              <w:t>Information Technology Act, 2000, s.10A, s.1(4) and the First Schedule</w:t>
            </w:r>
          </w:p>
        </w:tc>
        <w:tc>
          <w:tcPr>
            <w:tcW w:type="dxa" w:w="5472"/>
          </w:tcPr>
          <w:p>
            <w:pPr>
              <w:spacing w:after="40"/>
            </w:pPr>
            <w:r/>
            <w:r>
              <w:rPr>
                <w:rFonts w:ascii="Calibri" w:hAnsi="Calibri"/>
                <w:color w:val="565656"/>
                <w:sz w:val="17"/>
              </w:rPr>
              <w:t>A contract formed through electronic means is not unenforceable on that ground alone; the Act excludes only negotiable instruments other than cheques, powers of attorney, trusts, wills and contracts for immovable property</w:t>
            </w:r>
          </w:p>
        </w:tc>
      </w:tr>
      <w:tr>
        <w:tc>
          <w:tcPr>
            <w:tcW w:type="dxa" w:w="4176"/>
          </w:tcPr>
          <w:p>
            <w:pPr>
              <w:spacing w:after="40"/>
            </w:pPr>
            <w:r/>
            <w:r>
              <w:rPr>
                <w:rFonts w:ascii="Calibri" w:hAnsi="Calibri"/>
                <w:color w:val="565656"/>
                <w:sz w:val="17"/>
              </w:rPr>
              <w:t>Code on Wages, 2019, s.18(1) and Explanation (a)</w:t>
            </w:r>
          </w:p>
        </w:tc>
        <w:tc>
          <w:tcPr>
            <w:tcW w:type="dxa" w:w="5472"/>
          </w:tcPr>
          <w:p>
            <w:pPr>
              <w:spacing w:after="40"/>
            </w:pPr>
            <w:r/>
            <w:r>
              <w:rPr>
                <w:rFonts w:ascii="Calibri" w:hAnsi="Calibri"/>
                <w:color w:val="565656"/>
                <w:sz w:val="17"/>
              </w:rPr>
              <w:t>No deductions from wages except those the Code authorises; a payment by the employee to the employer is deemed a deduction</w:t>
            </w:r>
          </w:p>
        </w:tc>
      </w:tr>
      <w:tr>
        <w:tc>
          <w:tcPr>
            <w:tcW w:type="dxa" w:w="4176"/>
          </w:tcPr>
          <w:p>
            <w:pPr>
              <w:spacing w:after="40"/>
            </w:pPr>
            <w:r/>
            <w:r>
              <w:rPr>
                <w:rFonts w:ascii="Calibri" w:hAnsi="Calibri"/>
                <w:color w:val="565656"/>
                <w:sz w:val="17"/>
              </w:rPr>
              <w:t>Code on Wages, 2019, s.18(2) and s.21</w:t>
            </w:r>
          </w:p>
        </w:tc>
        <w:tc>
          <w:tcPr>
            <w:tcW w:type="dxa" w:w="5472"/>
          </w:tcPr>
          <w:p>
            <w:pPr>
              <w:spacing w:after="40"/>
            </w:pPr>
            <w:r/>
            <w:r>
              <w:rPr>
                <w:rFonts w:ascii="Calibri" w:hAnsi="Calibri"/>
                <w:color w:val="565656"/>
                <w:sz w:val="17"/>
              </w:rPr>
              <w:t>The closed list of purposes a deduction may be made for; loss of goods expressly entrusted is one, capped at the loss and only after an opportunity to show cause</w:t>
            </w:r>
          </w:p>
        </w:tc>
      </w:tr>
      <w:tr>
        <w:tc>
          <w:tcPr>
            <w:tcW w:type="dxa" w:w="4176"/>
          </w:tcPr>
          <w:p>
            <w:pPr>
              <w:spacing w:after="40"/>
            </w:pPr>
            <w:r/>
            <w:r>
              <w:rPr>
                <w:rFonts w:ascii="Calibri" w:hAnsi="Calibri"/>
                <w:color w:val="565656"/>
                <w:sz w:val="17"/>
              </w:rPr>
              <w:t>Code on Wages, 2019, s.18(3)</w:t>
            </w:r>
          </w:p>
        </w:tc>
        <w:tc>
          <w:tcPr>
            <w:tcW w:type="dxa" w:w="5472"/>
          </w:tcPr>
          <w:p>
            <w:pPr>
              <w:spacing w:after="40"/>
            </w:pPr>
            <w:r/>
            <w:r>
              <w:rPr>
                <w:rFonts w:ascii="Calibri" w:hAnsi="Calibri"/>
                <w:color w:val="565656"/>
                <w:sz w:val="17"/>
              </w:rPr>
              <w:t>Total deductions in a wage period may not exceed 50 per cent of the wages</w:t>
            </w:r>
          </w:p>
        </w:tc>
      </w:tr>
      <w:tr>
        <w:tc>
          <w:tcPr>
            <w:tcW w:type="dxa" w:w="4176"/>
          </w:tcPr>
          <w:p>
            <w:pPr>
              <w:spacing w:after="40"/>
            </w:pPr>
            <w:r/>
            <w:r>
              <w:rPr>
                <w:rFonts w:ascii="Calibri" w:hAnsi="Calibri"/>
                <w:color w:val="565656"/>
                <w:sz w:val="17"/>
              </w:rPr>
              <w:t>Code on Wages, 2019, s.60 and s.17(2)</w:t>
            </w:r>
          </w:p>
        </w:tc>
        <w:tc>
          <w:tcPr>
            <w:tcW w:type="dxa" w:w="5472"/>
          </w:tcPr>
          <w:p>
            <w:pPr>
              <w:spacing w:after="40"/>
            </w:pPr>
            <w:r/>
            <w:r>
              <w:rPr>
                <w:rFonts w:ascii="Calibri" w:hAnsi="Calibri"/>
                <w:color w:val="565656"/>
                <w:sz w:val="17"/>
              </w:rPr>
              <w:t>An agreement by which an employee gives up an amount due under the Code is void to that extent; wages on leaving are due within two working days</w:t>
            </w:r>
          </w:p>
        </w:tc>
      </w:tr>
      <w:tr>
        <w:tc>
          <w:tcPr>
            <w:tcW w:type="dxa" w:w="4176"/>
          </w:tcPr>
          <w:p>
            <w:pPr>
              <w:spacing w:after="40"/>
            </w:pPr>
            <w:r/>
            <w:r>
              <w:rPr>
                <w:rFonts w:ascii="Calibri" w:hAnsi="Calibri"/>
                <w:color w:val="565656"/>
                <w:sz w:val="17"/>
              </w:rPr>
              <w:t>Code on Wages, 2019, s.54(1) and (3), s.45(2) and s.56</w:t>
            </w:r>
          </w:p>
        </w:tc>
        <w:tc>
          <w:tcPr>
            <w:tcW w:type="dxa" w:w="5472"/>
          </w:tcPr>
          <w:p>
            <w:pPr>
              <w:spacing w:after="40"/>
            </w:pPr>
            <w:r/>
            <w:r>
              <w:rPr>
                <w:rFonts w:ascii="Calibri" w:hAnsi="Calibri"/>
                <w:color w:val="565656"/>
                <w:sz w:val="17"/>
              </w:rPr>
              <w:t>Paying an employee less than the amount due: a fine up to ₹50,000, and on a repeat within five years up to three months or ₹1,00,000; no opportunity to comply first; the claims authority may add compensation up to ten times the claim; a first fine-only offence compounds for half the maximum fine</w:t>
            </w:r>
          </w:p>
        </w:tc>
      </w:tr>
      <w:tr>
        <w:tc>
          <w:tcPr>
            <w:tcW w:type="dxa" w:w="4176"/>
          </w:tcPr>
          <w:p>
            <w:pPr>
              <w:spacing w:after="40"/>
            </w:pPr>
            <w:r/>
            <w:r>
              <w:rPr>
                <w:rFonts w:ascii="Calibri" w:hAnsi="Calibri"/>
                <w:color w:val="565656"/>
                <w:sz w:val="17"/>
              </w:rPr>
              <w:t>Model Standing Orders, 2026, Schedule B clause 19; Schedules A and C clause 20</w:t>
            </w:r>
          </w:p>
        </w:tc>
        <w:tc>
          <w:tcPr>
            <w:tcW w:type="dxa" w:w="5472"/>
          </w:tcPr>
          <w:p>
            <w:pPr>
              <w:spacing w:after="40"/>
            </w:pPr>
            <w:r/>
            <w:r>
              <w:rPr>
                <w:rFonts w:ascii="Calibri" w:hAnsi="Calibri"/>
                <w:color w:val="565656"/>
                <w:sz w:val="17"/>
              </w:rPr>
              <w:t>Secrecy: no worker takes documents or property out of the premises, or discloses the manufacturing process, trade secrets or confidential documents, without written permission</w:t>
            </w:r>
          </w:p>
        </w:tc>
      </w:tr>
      <w:tr>
        <w:tc>
          <w:tcPr>
            <w:tcW w:type="dxa" w:w="4176"/>
          </w:tcPr>
          <w:p>
            <w:pPr>
              <w:spacing w:after="40"/>
            </w:pPr>
            <w:r/>
            <w:r>
              <w:rPr>
                <w:rFonts w:ascii="Calibri" w:hAnsi="Calibri"/>
                <w:color w:val="565656"/>
                <w:sz w:val="17"/>
              </w:rPr>
              <w:t>Model Standing Orders, 2026, Schedule B clause 23(5)(s); Schedules A and C clause 24(5)(s)</w:t>
            </w:r>
          </w:p>
        </w:tc>
        <w:tc>
          <w:tcPr>
            <w:tcW w:type="dxa" w:w="5472"/>
          </w:tcPr>
          <w:p>
            <w:pPr>
              <w:spacing w:after="40"/>
            </w:pPr>
            <w:r/>
            <w:r>
              <w:rPr>
                <w:rFonts w:ascii="Calibri" w:hAnsi="Calibri"/>
                <w:color w:val="565656"/>
                <w:sz w:val="17"/>
              </w:rPr>
              <w:t>Disclosing confidential information about the working or process of the establishment to an unauthorised person is misconduct</w:t>
            </w:r>
          </w:p>
        </w:tc>
      </w:tr>
      <w:tr>
        <w:tc>
          <w:tcPr>
            <w:tcW w:type="dxa" w:w="4176"/>
          </w:tcPr>
          <w:p>
            <w:pPr>
              <w:spacing w:after="40"/>
            </w:pPr>
            <w:r/>
            <w:r>
              <w:rPr>
                <w:rFonts w:ascii="Calibri" w:hAnsi="Calibri"/>
                <w:color w:val="565656"/>
                <w:sz w:val="17"/>
              </w:rPr>
              <w:t>IR Code, 2020, s.28(1), s.29(2), s.30(3) and s.86(11)</w:t>
            </w:r>
          </w:p>
        </w:tc>
        <w:tc>
          <w:tcPr>
            <w:tcW w:type="dxa" w:w="5472"/>
          </w:tcPr>
          <w:p>
            <w:pPr>
              <w:spacing w:after="40"/>
            </w:pPr>
            <w:r/>
            <w:r>
              <w:rPr>
                <w:rFonts w:ascii="Calibri" w:hAnsi="Calibri"/>
                <w:color w:val="565656"/>
                <w:sz w:val="17"/>
              </w:rPr>
              <w:t>Chapter IV, standing orders, applies to an industrial establishment with 300 or more workers, or that many on any day in the preceding twelve months; model orders are deemed adopted until certified orders operate, and model orders an employer adopts are deemed certified; acting against certified orders costs the employer a fine of ₹1,00,000 to ₹2,00,000</w:t>
            </w:r>
          </w:p>
        </w:tc>
      </w:tr>
      <w:tr>
        <w:tc>
          <w:tcPr>
            <w:tcW w:type="dxa" w:w="4176"/>
          </w:tcPr>
          <w:p>
            <w:pPr>
              <w:spacing w:after="40"/>
            </w:pPr>
            <w:r/>
            <w:r>
              <w:rPr>
                <w:rFonts w:ascii="Calibri" w:hAnsi="Calibri"/>
                <w:color w:val="565656"/>
                <w:sz w:val="17"/>
              </w:rPr>
              <w:t>IR Code, 2020, s.2(zr)</w:t>
            </w:r>
          </w:p>
        </w:tc>
        <w:tc>
          <w:tcPr>
            <w:tcW w:type="dxa" w:w="5472"/>
          </w:tcPr>
          <w:p>
            <w:pPr>
              <w:spacing w:after="40"/>
            </w:pPr>
            <w:r/>
            <w:r>
              <w:rPr>
                <w:rFonts w:ascii="Calibri" w:hAnsi="Calibri"/>
                <w:color w:val="565656"/>
                <w:sz w:val="17"/>
              </w:rPr>
              <w:t>A worker excludes those mainly in a managerial or administrative capacity, and supervisors drawing over ₹18,000 a month</w:t>
            </w:r>
          </w:p>
        </w:tc>
      </w:tr>
      <w:tr>
        <w:tc>
          <w:tcPr>
            <w:tcW w:type="dxa" w:w="4176"/>
          </w:tcPr>
          <w:p>
            <w:pPr>
              <w:spacing w:after="40"/>
            </w:pPr>
            <w:r/>
            <w:r>
              <w:rPr>
                <w:rFonts w:ascii="Calibri" w:hAnsi="Calibri"/>
                <w:color w:val="565656"/>
                <w:sz w:val="17"/>
              </w:rPr>
              <w:t>DPDP Act, 2023, s.8(1)</w:t>
            </w:r>
          </w:p>
        </w:tc>
        <w:tc>
          <w:tcPr>
            <w:tcW w:type="dxa" w:w="5472"/>
          </w:tcPr>
          <w:p>
            <w:pPr>
              <w:spacing w:after="40"/>
            </w:pPr>
            <w:r/>
            <w:r>
              <w:rPr>
                <w:rFonts w:ascii="Calibri" w:hAnsi="Calibri"/>
                <w:color w:val="565656"/>
                <w:sz w:val="17"/>
              </w:rPr>
              <w:t>The Data Fiduciary is responsible for compliance irrespective of any agreement to the contrary</w:t>
            </w:r>
          </w:p>
        </w:tc>
      </w:tr>
      <w:tr>
        <w:tc>
          <w:tcPr>
            <w:tcW w:type="dxa" w:w="4176"/>
          </w:tcPr>
          <w:p>
            <w:pPr>
              <w:spacing w:after="40"/>
            </w:pPr>
            <w:r/>
            <w:r>
              <w:rPr>
                <w:rFonts w:ascii="Calibri" w:hAnsi="Calibri"/>
                <w:color w:val="565656"/>
                <w:sz w:val="17"/>
              </w:rPr>
              <w:t>G.S.R. 843(E), 13-Nov-2025, clause (c)</w:t>
            </w:r>
          </w:p>
        </w:tc>
        <w:tc>
          <w:tcPr>
            <w:tcW w:type="dxa" w:w="5472"/>
          </w:tcPr>
          <w:p>
            <w:pPr>
              <w:spacing w:after="40"/>
            </w:pPr>
            <w:r/>
            <w:r>
              <w:rPr>
                <w:rFonts w:ascii="Calibri" w:hAnsi="Calibri"/>
                <w:color w:val="565656"/>
                <w:sz w:val="17"/>
              </w:rPr>
              <w:t>Sections 7 and 8, the penalties and s.44(2) of the DPDP Act commence eighteen months from publication: 13-May-2027</w:t>
            </w:r>
          </w:p>
        </w:tc>
      </w:tr>
      <w:tr>
        <w:tc>
          <w:tcPr>
            <w:tcW w:type="dxa" w:w="4176"/>
          </w:tcPr>
          <w:p>
            <w:pPr>
              <w:spacing w:after="40"/>
            </w:pPr>
            <w:r/>
            <w:r>
              <w:rPr>
                <w:rFonts w:ascii="Calibri" w:hAnsi="Calibri"/>
                <w:color w:val="565656"/>
                <w:sz w:val="17"/>
              </w:rPr>
              <w:t>DPDP Act, 2023, s.8(2)</w:t>
            </w:r>
          </w:p>
        </w:tc>
        <w:tc>
          <w:tcPr>
            <w:tcW w:type="dxa" w:w="5472"/>
          </w:tcPr>
          <w:p>
            <w:pPr>
              <w:spacing w:after="40"/>
            </w:pPr>
            <w:r/>
            <w:r>
              <w:rPr>
                <w:rFonts w:ascii="Calibri" w:hAnsi="Calibri"/>
                <w:color w:val="565656"/>
                <w:sz w:val="17"/>
              </w:rPr>
              <w:t>A Data Processor may be engaged for an activity related to offering goods or services to Data Principals only under a valid contract</w:t>
            </w:r>
          </w:p>
        </w:tc>
      </w:tr>
      <w:tr>
        <w:tc>
          <w:tcPr>
            <w:tcW w:type="dxa" w:w="4176"/>
          </w:tcPr>
          <w:p>
            <w:pPr>
              <w:spacing w:after="40"/>
            </w:pPr>
            <w:r/>
            <w:r>
              <w:rPr>
                <w:rFonts w:ascii="Calibri" w:hAnsi="Calibri"/>
                <w:color w:val="565656"/>
                <w:sz w:val="17"/>
              </w:rPr>
              <w:t>DPDP Act, 2023, s.8(5) and the Schedule, item 1</w:t>
            </w:r>
          </w:p>
        </w:tc>
        <w:tc>
          <w:tcPr>
            <w:tcW w:type="dxa" w:w="5472"/>
          </w:tcPr>
          <w:p>
            <w:pPr>
              <w:spacing w:after="40"/>
            </w:pPr>
            <w:r/>
            <w:r>
              <w:rPr>
                <w:rFonts w:ascii="Calibri" w:hAnsi="Calibri"/>
                <w:color w:val="565656"/>
                <w:sz w:val="17"/>
              </w:rPr>
              <w:t>Reasonable security safeguards to prevent a personal data breach; a failure may cost up to ₹250 crore</w:t>
            </w:r>
          </w:p>
        </w:tc>
      </w:tr>
      <w:tr>
        <w:tc>
          <w:tcPr>
            <w:tcW w:type="dxa" w:w="4176"/>
          </w:tcPr>
          <w:p>
            <w:pPr>
              <w:spacing w:after="40"/>
            </w:pPr>
            <w:r/>
            <w:r>
              <w:rPr>
                <w:rFonts w:ascii="Calibri" w:hAnsi="Calibri"/>
                <w:color w:val="565656"/>
                <w:sz w:val="17"/>
              </w:rPr>
              <w:t>DPDP Act, 2023, s.7(i) and s.9(1)</w:t>
            </w:r>
          </w:p>
        </w:tc>
        <w:tc>
          <w:tcPr>
            <w:tcW w:type="dxa" w:w="5472"/>
          </w:tcPr>
          <w:p>
            <w:pPr>
              <w:spacing w:after="40"/>
            </w:pPr>
            <w:r/>
            <w:r>
              <w:rPr>
                <w:rFonts w:ascii="Calibri" w:hAnsi="Calibri"/>
                <w:color w:val="565656"/>
                <w:sz w:val="17"/>
              </w:rPr>
              <w:t>Processing for the purposes of employment is a legitimate use, needing no consent; a child's personal data needs the verifiable consent of a parent or lawful guardian</w:t>
            </w:r>
          </w:p>
        </w:tc>
      </w:tr>
      <w:tr>
        <w:tc>
          <w:tcPr>
            <w:tcW w:type="dxa" w:w="4176"/>
          </w:tcPr>
          <w:p>
            <w:pPr>
              <w:spacing w:after="40"/>
            </w:pPr>
            <w:r/>
            <w:r>
              <w:rPr>
                <w:rFonts w:ascii="Calibri" w:hAnsi="Calibri"/>
                <w:color w:val="565656"/>
                <w:sz w:val="17"/>
              </w:rPr>
              <w:t>DPDP Rules, 2025, rule 1(4) and rule 7(2)</w:t>
            </w:r>
          </w:p>
        </w:tc>
        <w:tc>
          <w:tcPr>
            <w:tcW w:type="dxa" w:w="5472"/>
          </w:tcPr>
          <w:p>
            <w:pPr>
              <w:spacing w:after="40"/>
            </w:pPr>
            <w:r/>
            <w:r>
              <w:rPr>
                <w:rFonts w:ascii="Calibri" w:hAnsi="Calibri"/>
                <w:color w:val="565656"/>
                <w:sz w:val="17"/>
              </w:rPr>
              <w:t>Rules 3, 5 to 16, 22 and 23 come into force eighteen months after publication: 13-May-2027; a breach goes to the Board within 72 hours of becoming aware</w:t>
            </w:r>
          </w:p>
        </w:tc>
      </w:tr>
      <w:tr>
        <w:tc>
          <w:tcPr>
            <w:tcW w:type="dxa" w:w="4176"/>
          </w:tcPr>
          <w:p>
            <w:pPr>
              <w:spacing w:after="40"/>
            </w:pPr>
            <w:r/>
            <w:r>
              <w:rPr>
                <w:rFonts w:ascii="Calibri" w:hAnsi="Calibri"/>
                <w:color w:val="565656"/>
                <w:sz w:val="17"/>
              </w:rPr>
              <w:t>Apprentices Act, 1961, s.4(1) and s.18</w:t>
            </w:r>
          </w:p>
        </w:tc>
        <w:tc>
          <w:tcPr>
            <w:tcW w:type="dxa" w:w="5472"/>
          </w:tcPr>
          <w:p>
            <w:pPr>
              <w:spacing w:after="40"/>
            </w:pPr>
            <w:r/>
            <w:r>
              <w:rPr>
                <w:rFonts w:ascii="Calibri" w:hAnsi="Calibri"/>
                <w:color w:val="565656"/>
                <w:sz w:val="17"/>
              </w:rPr>
              <w:t>An apprentice, or a minor apprentice's guardian, enters a contract of apprenticeship; an apprentice is a trainee and not a worker, and labour laws do not apply to them</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7"/>
        </w:rPr>
        <w:t>Provided by Attendo for general guidance, not legal advice, reviewed 27-Oct-2026.</w:t>
      </w:r>
    </w:p>
    <w:sectPr w:rsidR="00FC693F" w:rsidRPr="0006063C" w:rsidSect="00034616">
      <w:footerReference w:type="default" r:id="rId9"/>
      <w:pgSz w:w="11906" w:h="16838"/>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Employee NDA Pack  ·  reviewed 27-Oct-2026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NDA Pack</dc:title>
  <dc:subject/>
  <dc:creator>Attendo</dc:creator>
  <cp:keywords/>
  <dc:description>Reviewed 27-Oct-2026.</dc:description>
  <cp:lastModifiedBy/>
  <cp:revision>1</cp:revision>
  <dcterms:created xsi:type="dcterms:W3CDTF">2013-12-23T23:15:00Z</dcterms:created>
  <dcterms:modified xsi:type="dcterms:W3CDTF">2013-12-23T23:15:00Z</dcterms:modified>
  <cp:category/>
</cp:coreProperties>
</file>