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after="80" w:before="800"/>
      </w:pPr>
      <w:r>
        <w:rPr>
          <w:rFonts w:ascii="Calibri" w:hAnsi="Calibri"/>
          <w:b/>
          <w:i w:val="0"/>
          <w:color w:val="0069A4"/>
          <w:sz w:val="18"/>
        </w:rPr>
        <w:t>ATTENDO PRESENTS</w:t>
      </w:r>
    </w:p>
    <w:p>
      <w:pPr>
        <w:keepNext w:val="0"/>
        <w:spacing w:after="40" w:before="0"/>
      </w:pPr>
      <w:r>
        <w:rPr>
          <w:rFonts w:ascii="Calibri" w:hAnsi="Calibri"/>
          <w:b/>
          <w:i w:val="0"/>
          <w:color w:val="1D1D1D"/>
          <w:sz w:val="48"/>
        </w:rPr>
        <w:t>Creche and Canteen Compliance Pack</w:t>
      </w:r>
    </w:p>
    <w:p>
      <w:pPr>
        <w:keepNext w:val="0"/>
        <w:spacing w:after="320" w:before="0"/>
      </w:pPr>
      <w:r>
        <w:rPr>
          <w:rFonts w:ascii="Calibri" w:hAnsi="Calibri"/>
          <w:b w:val="0"/>
          <w:i w:val="0"/>
          <w:color w:val="565656"/>
          <w:sz w:val="26"/>
        </w:rPr>
        <w:t>When you need each, under which Code, and what it must have</w:t>
      </w:r>
    </w:p>
    <w:p>
      <w:pPr>
        <w:spacing w:after="160" w:before="160"/>
        <w:pBdr>
          <w:bottom w:val="single" w:sz="6" w:space="1" w:color="D1EAF9"/>
        </w:pBdr>
      </w:pPr>
    </w:p>
    <w:p>
      <w:pPr>
        <w:keepNext w:val="0"/>
        <w:spacing w:after="360" w:before="0"/>
      </w:pPr>
      <w:r>
        <w:rPr>
          <w:rFonts w:ascii="Calibri" w:hAnsi="Calibri"/>
          <w:b w:val="0"/>
          <w:i w:val="0"/>
          <w:color w:val="565656"/>
          <w:sz w:val="20"/>
        </w:rPr>
        <w:t>For Indian employers: factories, hospitals, offices, stores, construction sites and warehouses</w:t>
      </w:r>
    </w:p>
    <w:p>
      <w:pPr>
        <w:keepNext w:val="0"/>
        <w:spacing w:after="60" w:before="0"/>
        <w:ind w:left="360"/>
      </w:pPr>
      <w:r>
        <w:rPr>
          <w:rFonts w:ascii="Calibri" w:hAnsi="Calibri"/>
          <w:b w:val="0"/>
          <w:i w:val="0"/>
          <w:color w:val="565656"/>
          <w:sz w:val="21"/>
        </w:rPr>
        <w:t>•  Two Codes, two counts: employees for the creche, workers for the canteen</w:t>
      </w:r>
    </w:p>
    <w:p>
      <w:pPr>
        <w:keepNext w:val="0"/>
        <w:spacing w:after="60" w:before="0"/>
        <w:ind w:left="360"/>
      </w:pPr>
      <w:r>
        <w:rPr>
          <w:rFonts w:ascii="Calibri" w:hAnsi="Calibri"/>
          <w:b w:val="0"/>
          <w:i w:val="0"/>
          <w:color w:val="565656"/>
          <w:sz w:val="21"/>
        </w:rPr>
        <w:t>•  The creche allowance and when it is allowed</w:t>
      </w:r>
    </w:p>
    <w:p>
      <w:pPr>
        <w:keepNext w:val="0"/>
        <w:spacing w:after="60" w:before="0"/>
        <w:ind w:left="360"/>
      </w:pPr>
      <w:r>
        <w:rPr>
          <w:rFonts w:ascii="Calibri" w:hAnsi="Calibri"/>
          <w:b w:val="0"/>
          <w:i w:val="0"/>
          <w:color w:val="565656"/>
          <w:sz w:val="21"/>
        </w:rPr>
        <w:t>•  Four worked examples and six formats</w:t>
      </w:r>
    </w:p>
    <w:p>
      <w:pPr>
        <w:keepNext w:val="0"/>
        <w:spacing w:after="60" w:before="0"/>
        <w:ind w:left="360"/>
      </w:pPr>
      <w:r>
        <w:rPr>
          <w:rFonts w:ascii="Calibri" w:hAnsi="Calibri"/>
          <w:b w:val="0"/>
          <w:i w:val="0"/>
          <w:color w:val="565656"/>
          <w:sz w:val="21"/>
        </w:rPr>
        <w:t>•  Eight mistakes and seventeen citations</w:t>
      </w:r>
    </w:p>
    <w:p>
      <w:pPr>
        <w:keepNext w:val="0"/>
        <w:spacing w:after="200" w:before="0"/>
      </w:pPr>
      <w:r>
        <w:rPr>
          <w:rFonts w:ascii="Calibri" w:hAnsi="Calibri"/>
          <w:b w:val="0"/>
          <w:i w:val="0"/>
          <w:color w:val="1D1D1D"/>
          <w:sz w:val="21"/>
        </w:rPr>
      </w:r>
    </w:p>
    <w:p>
      <w:pPr>
        <w:keepNext w:val="0"/>
        <w:spacing w:after="120" w:before="0"/>
      </w:pPr>
      <w:r>
        <w:rPr>
          <w:rFonts w:ascii="Calibri" w:hAnsi="Calibri"/>
          <w:b w:val="0"/>
          <w:i/>
          <w:color w:val="565656"/>
          <w:sz w:val="18"/>
        </w:rPr>
        <w:t>From Attendo (formerly Petpooja Payroll). Reviewed 09-Oct-2026. General guidance, not legal advice.</w:t>
      </w:r>
    </w:p>
    <w:p>
      <w:r>
        <w:br w:type="page"/>
      </w:r>
    </w:p>
    <w:p>
      <w:pPr>
        <w:pStyle w:val="Heading1"/>
        <w:keepNext/>
        <w:spacing w:after="200" w:before="80"/>
        <w:ind w:left="115"/>
        <w:shd w:val="clear" w:fill="008CDB"/>
      </w:pPr>
      <w:r>
        <w:rPr>
          <w:rFonts w:ascii="Calibri" w:hAnsi="Calibri"/>
          <w:b/>
          <w:color w:val="FFFFFF"/>
          <w:sz w:val="22"/>
        </w:rPr>
        <w:t>CONTENTS</w:t>
      </w:r>
    </w:p>
    <w:p>
      <w:pPr>
        <w:keepNext w:val="0"/>
        <w:spacing w:after="80" w:before="0"/>
      </w:pPr>
      <w:r>
        <w:rPr>
          <w:rFonts w:ascii="Calibri" w:hAnsi="Calibri"/>
          <w:b w:val="0"/>
          <w:i w:val="0"/>
          <w:color w:val="1D1D1D"/>
          <w:sz w:val="20"/>
        </w:rPr>
        <w:t>1.  Which law, and which count</w:t>
      </w:r>
    </w:p>
    <w:p>
      <w:pPr>
        <w:keepNext w:val="0"/>
        <w:spacing w:after="80" w:before="0"/>
      </w:pPr>
      <w:r>
        <w:rPr>
          <w:rFonts w:ascii="Calibri" w:hAnsi="Calibri"/>
          <w:b w:val="0"/>
          <w:i w:val="0"/>
          <w:color w:val="1D1D1D"/>
          <w:sz w:val="20"/>
        </w:rPr>
        <w:t>2.  The creche</w:t>
      </w:r>
    </w:p>
    <w:p>
      <w:pPr>
        <w:keepNext w:val="0"/>
        <w:spacing w:after="80" w:before="0"/>
      </w:pPr>
      <w:r>
        <w:rPr>
          <w:rFonts w:ascii="Calibri" w:hAnsi="Calibri"/>
          <w:b w:val="0"/>
          <w:i w:val="0"/>
          <w:color w:val="1D1D1D"/>
          <w:sz w:val="20"/>
        </w:rPr>
        <w:t>3.  The canteen</w:t>
      </w:r>
    </w:p>
    <w:p>
      <w:pPr>
        <w:keepNext w:val="0"/>
        <w:spacing w:after="80" w:before="0"/>
      </w:pPr>
      <w:r>
        <w:rPr>
          <w:rFonts w:ascii="Calibri" w:hAnsi="Calibri"/>
          <w:b w:val="0"/>
          <w:i w:val="0"/>
          <w:color w:val="1D1D1D"/>
          <w:sz w:val="20"/>
        </w:rPr>
        <w:t>4.  Four worked examples</w:t>
      </w:r>
    </w:p>
    <w:p>
      <w:pPr>
        <w:keepNext w:val="0"/>
        <w:spacing w:after="80" w:before="0"/>
      </w:pPr>
      <w:r>
        <w:rPr>
          <w:rFonts w:ascii="Calibri" w:hAnsi="Calibri"/>
          <w:b w:val="0"/>
          <w:i w:val="0"/>
          <w:color w:val="1D1D1D"/>
          <w:sz w:val="20"/>
        </w:rPr>
        <w:t>5.  Six formats</w:t>
      </w:r>
    </w:p>
    <w:p>
      <w:pPr>
        <w:keepNext w:val="0"/>
        <w:spacing w:after="80" w:before="0"/>
      </w:pPr>
      <w:r>
        <w:rPr>
          <w:rFonts w:ascii="Calibri" w:hAnsi="Calibri"/>
          <w:b w:val="0"/>
          <w:i w:val="0"/>
          <w:color w:val="1D1D1D"/>
          <w:sz w:val="20"/>
        </w:rPr>
        <w:t>6.  Eight mistakes</w:t>
      </w:r>
    </w:p>
    <w:p>
      <w:pPr>
        <w:keepNext w:val="0"/>
        <w:spacing w:after="80" w:before="0"/>
      </w:pPr>
      <w:r>
        <w:rPr>
          <w:rFonts w:ascii="Calibri" w:hAnsi="Calibri"/>
          <w:b w:val="0"/>
          <w:i w:val="0"/>
          <w:color w:val="1D1D1D"/>
          <w:sz w:val="20"/>
        </w:rPr>
        <w:t>7.  What this pack could not settle</w:t>
      </w:r>
    </w:p>
    <w:p>
      <w:pPr>
        <w:keepNext w:val="0"/>
        <w:spacing w:after="80" w:before="0"/>
      </w:pPr>
      <w:r>
        <w:rPr>
          <w:rFonts w:ascii="Calibri" w:hAnsi="Calibri"/>
          <w:b w:val="0"/>
          <w:i w:val="0"/>
          <w:color w:val="1D1D1D"/>
          <w:sz w:val="20"/>
        </w:rPr>
        <w:t>8.  Seventeen citations</w:t>
      </w:r>
    </w:p>
    <w:p>
      <w:pPr>
        <w:keepNext w:val="0"/>
        <w:spacing w:after="160" w:before="0"/>
      </w:pPr>
      <w:r>
        <w:rPr>
          <w:rFonts w:ascii="Calibri" w:hAnsi="Calibri"/>
          <w:b w:val="0"/>
          <w:i w:val="0"/>
          <w:color w:val="1D1D1D"/>
          <w:sz w:val="21"/>
        </w:rPr>
      </w:r>
    </w:p>
    <w:p>
      <w:pPr>
        <w:keepNext w:val="0"/>
        <w:spacing w:after="160" w:before="0"/>
        <w:ind w:left="216"/>
        <w:shd w:val="clear" w:fill="F4FAFE"/>
      </w:pPr>
      <w:r>
        <w:rPr>
          <w:rFonts w:ascii="Calibri" w:hAnsi="Calibri"/>
          <w:b w:val="0"/>
          <w:i w:val="0"/>
          <w:color w:val="1D1D1D"/>
          <w:sz w:val="20"/>
        </w:rPr>
        <w:t>In a hurry? Fill Format 01. Count everyone for the creche, and workers including contract labour for the canteen.</w:t>
      </w:r>
    </w:p>
    <w:p>
      <w:r>
        <w:br w:type="page"/>
      </w:r>
    </w:p>
    <w:p>
      <w:pPr>
        <w:pStyle w:val="Heading1"/>
        <w:keepNext/>
        <w:spacing w:after="200" w:before="80"/>
        <w:ind w:left="115"/>
        <w:shd w:val="clear" w:fill="008CDB"/>
      </w:pPr>
      <w:r>
        <w:rPr>
          <w:rFonts w:ascii="Calibri" w:hAnsi="Calibri"/>
          <w:b/>
          <w:color w:val="FFFFFF"/>
          <w:sz w:val="22"/>
        </w:rPr>
        <w:t>1.  WHICH LAW, AND WHICH COUNT</w:t>
      </w:r>
    </w:p>
    <w:tbl>
      <w:tblPr>
        <w:tblStyle w:val="TableGrid"/>
        <w:tblW w:type="auto" w:w="0"/>
        <w:tblLook w:firstColumn="1" w:firstRow="1" w:lastColumn="0" w:lastRow="0" w:noHBand="0" w:noVBand="1" w:val="04A0"/>
      </w:tblPr>
      <w:tblGrid>
        <w:gridCol w:w="3216"/>
        <w:gridCol w:w="3216"/>
        <w:gridCol w:w="3216"/>
      </w:tblGrid>
      <w:tr>
        <w:tc>
          <w:tcPr>
            <w:tcW w:type="dxa" w:w="1728"/>
          </w:tcPr>
          <w:p>
            <w:pPr>
              <w:spacing w:after="40"/>
              <w:shd w:val="clear" w:fill="E8F4FC"/>
            </w:pPr>
            <w:r/>
            <w:r>
              <w:rPr>
                <w:rFonts w:ascii="Calibri" w:hAnsi="Calibri"/>
                <w:b/>
                <w:color w:val="0069A4"/>
                <w:sz w:val="17"/>
              </w:rPr>
            </w:r>
          </w:p>
        </w:tc>
        <w:tc>
          <w:tcPr>
            <w:tcW w:type="dxa" w:w="4320"/>
          </w:tcPr>
          <w:p>
            <w:pPr>
              <w:spacing w:after="40"/>
              <w:shd w:val="clear" w:fill="E8F4FC"/>
            </w:pPr>
            <w:r/>
            <w:r>
              <w:rPr>
                <w:rFonts w:ascii="Calibri" w:hAnsi="Calibri"/>
                <w:b/>
                <w:color w:val="0069A4"/>
                <w:sz w:val="17"/>
              </w:rPr>
              <w:t>Creche</w:t>
            </w:r>
          </w:p>
        </w:tc>
        <w:tc>
          <w:tcPr>
            <w:tcW w:type="dxa" w:w="3600"/>
          </w:tcPr>
          <w:p>
            <w:pPr>
              <w:spacing w:after="40"/>
              <w:shd w:val="clear" w:fill="E8F4FC"/>
            </w:pPr>
            <w:r/>
            <w:r>
              <w:rPr>
                <w:rFonts w:ascii="Calibri" w:hAnsi="Calibri"/>
                <w:b/>
                <w:color w:val="0069A4"/>
                <w:sz w:val="17"/>
              </w:rPr>
              <w:t>Canteen</w:t>
            </w:r>
          </w:p>
        </w:tc>
      </w:tr>
      <w:tr>
        <w:tc>
          <w:tcPr>
            <w:tcW w:type="dxa" w:w="1728"/>
          </w:tcPr>
          <w:p>
            <w:pPr>
              <w:spacing w:after="40"/>
            </w:pPr>
            <w:r/>
            <w:r>
              <w:rPr>
                <w:rFonts w:ascii="Calibri" w:hAnsi="Calibri"/>
                <w:color w:val="565656"/>
                <w:sz w:val="17"/>
              </w:rPr>
              <w:t>Main law</w:t>
            </w:r>
          </w:p>
        </w:tc>
        <w:tc>
          <w:tcPr>
            <w:tcW w:type="dxa" w:w="4320"/>
          </w:tcPr>
          <w:p>
            <w:pPr>
              <w:spacing w:after="40"/>
            </w:pPr>
            <w:r/>
            <w:r>
              <w:rPr>
                <w:rFonts w:ascii="Calibri" w:hAnsi="Calibri"/>
                <w:color w:val="565656"/>
                <w:sz w:val="17"/>
              </w:rPr>
              <w:t>Code on Social Security, s.67; OSH Code, s.24(3)</w:t>
            </w:r>
          </w:p>
        </w:tc>
        <w:tc>
          <w:tcPr>
            <w:tcW w:type="dxa" w:w="3600"/>
          </w:tcPr>
          <w:p>
            <w:pPr>
              <w:spacing w:after="40"/>
            </w:pPr>
            <w:r/>
            <w:r>
              <w:rPr>
                <w:rFonts w:ascii="Calibri" w:hAnsi="Calibri"/>
                <w:color w:val="565656"/>
                <w:sz w:val="17"/>
              </w:rPr>
              <w:t>OSH Code, s.24(1)(v)</w:t>
            </w:r>
          </w:p>
        </w:tc>
      </w:tr>
      <w:tr>
        <w:tc>
          <w:tcPr>
            <w:tcW w:type="dxa" w:w="1728"/>
          </w:tcPr>
          <w:p>
            <w:pPr>
              <w:spacing w:after="40"/>
            </w:pPr>
            <w:r/>
            <w:r>
              <w:rPr>
                <w:rFonts w:ascii="Calibri" w:hAnsi="Calibri"/>
                <w:color w:val="565656"/>
                <w:sz w:val="17"/>
              </w:rPr>
              <w:t>Who it reaches</w:t>
            </w:r>
          </w:p>
        </w:tc>
        <w:tc>
          <w:tcPr>
            <w:tcW w:type="dxa" w:w="4320"/>
          </w:tcPr>
          <w:p>
            <w:pPr>
              <w:spacing w:after="40"/>
            </w:pPr>
            <w:r/>
            <w:r>
              <w:rPr>
                <w:rFonts w:ascii="Calibri" w:hAnsi="Calibri"/>
                <w:color w:val="565656"/>
                <w:sz w:val="17"/>
              </w:rPr>
              <w:t>Social Security: factories (ten or more employees with power, twenty without, s.2(32)), mines and plantations, and shops or establishments with ten or more employees. OSH rule 58: listed industries only.</w:t>
            </w:r>
          </w:p>
        </w:tc>
        <w:tc>
          <w:tcPr>
            <w:tcW w:type="dxa" w:w="3600"/>
          </w:tcPr>
          <w:p>
            <w:pPr>
              <w:spacing w:after="40"/>
            </w:pPr>
            <w:r/>
            <w:r>
              <w:rPr>
                <w:rFonts w:ascii="Calibri" w:hAnsi="Calibri"/>
                <w:color w:val="565656"/>
                <w:sz w:val="17"/>
              </w:rPr>
              <w:t>Rule 53: listed industries only</w:t>
            </w:r>
          </w:p>
        </w:tc>
      </w:tr>
      <w:tr>
        <w:tc>
          <w:tcPr>
            <w:tcW w:type="dxa" w:w="1728"/>
          </w:tcPr>
          <w:p>
            <w:pPr>
              <w:spacing w:after="40"/>
            </w:pPr>
            <w:r/>
            <w:r>
              <w:rPr>
                <w:rFonts w:ascii="Calibri" w:hAnsi="Calibri"/>
                <w:color w:val="565656"/>
                <w:sz w:val="17"/>
              </w:rPr>
              <w:t>Count</w:t>
            </w:r>
          </w:p>
        </w:tc>
        <w:tc>
          <w:tcPr>
            <w:tcW w:type="dxa" w:w="4320"/>
          </w:tcPr>
          <w:p>
            <w:pPr>
              <w:spacing w:after="40"/>
            </w:pPr>
            <w:r/>
            <w:r>
              <w:rPr>
                <w:rFonts w:ascii="Calibri" w:hAnsi="Calibri"/>
                <w:color w:val="565656"/>
                <w:sz w:val="17"/>
              </w:rPr>
              <w:t>Social Security: 50 or more employees, everyone on wages including contract staff and managers. OSH: more than 50 workers.</w:t>
            </w:r>
          </w:p>
        </w:tc>
        <w:tc>
          <w:tcPr>
            <w:tcW w:type="dxa" w:w="3600"/>
          </w:tcPr>
          <w:p>
            <w:pPr>
              <w:spacing w:after="40"/>
            </w:pPr>
            <w:r/>
            <w:r>
              <w:rPr>
                <w:rFonts w:ascii="Calibri" w:hAnsi="Calibri"/>
                <w:color w:val="565656"/>
                <w:sz w:val="17"/>
              </w:rPr>
              <w:t>100 or more workers, including contract labourers</w:t>
            </w:r>
          </w:p>
        </w:tc>
      </w:tr>
      <w:tr>
        <w:tc>
          <w:tcPr>
            <w:tcW w:type="dxa" w:w="1728"/>
          </w:tcPr>
          <w:p>
            <w:pPr>
              <w:spacing w:after="40"/>
            </w:pPr>
            <w:r/>
            <w:r>
              <w:rPr>
                <w:rFonts w:ascii="Calibri" w:hAnsi="Calibri"/>
                <w:color w:val="565656"/>
                <w:sz w:val="17"/>
              </w:rPr>
              <w:t>Rules</w:t>
            </w:r>
          </w:p>
        </w:tc>
        <w:tc>
          <w:tcPr>
            <w:tcW w:type="dxa" w:w="4320"/>
          </w:tcPr>
          <w:p>
            <w:pPr>
              <w:spacing w:after="40"/>
            </w:pPr>
            <w:r/>
            <w:r>
              <w:rPr>
                <w:rFonts w:ascii="Calibri" w:hAnsi="Calibri"/>
                <w:color w:val="565656"/>
                <w:sz w:val="17"/>
              </w:rPr>
              <w:t>SS (Central) Rules rule 37; OSH (Central) Rules rule 58</w:t>
            </w:r>
          </w:p>
        </w:tc>
        <w:tc>
          <w:tcPr>
            <w:tcW w:type="dxa" w:w="3600"/>
          </w:tcPr>
          <w:p>
            <w:pPr>
              <w:spacing w:after="40"/>
            </w:pPr>
            <w:r/>
            <w:r>
              <w:rPr>
                <w:rFonts w:ascii="Calibri" w:hAnsi="Calibri"/>
                <w:color w:val="565656"/>
                <w:sz w:val="17"/>
              </w:rPr>
              <w:t>OSH (Central) Rules rule 53</w:t>
            </w:r>
          </w:p>
        </w:tc>
      </w:tr>
      <w:tr>
        <w:tc>
          <w:tcPr>
            <w:tcW w:type="dxa" w:w="1728"/>
          </w:tcPr>
          <w:p>
            <w:pPr>
              <w:spacing w:after="40"/>
            </w:pPr>
            <w:r/>
            <w:r>
              <w:rPr>
                <w:rFonts w:ascii="Calibri" w:hAnsi="Calibri"/>
                <w:color w:val="565656"/>
                <w:sz w:val="17"/>
              </w:rPr>
              <w:t>Penalty</w:t>
            </w:r>
          </w:p>
        </w:tc>
        <w:tc>
          <w:tcPr>
            <w:tcW w:type="dxa" w:w="4320"/>
          </w:tcPr>
          <w:p>
            <w:pPr>
              <w:spacing w:after="40"/>
            </w:pPr>
            <w:r/>
            <w:r>
              <w:rPr>
                <w:rFonts w:ascii="Calibri" w:hAnsi="Calibri"/>
                <w:color w:val="565656"/>
                <w:sz w:val="17"/>
              </w:rPr>
              <w:t>Up to ₹50,000 (SS s.133); ₹2,00,000 to ₹3,00,000 (OSH s.94) for rule 58</w:t>
            </w:r>
          </w:p>
        </w:tc>
        <w:tc>
          <w:tcPr>
            <w:tcW w:type="dxa" w:w="3600"/>
          </w:tcPr>
          <w:p>
            <w:pPr>
              <w:spacing w:after="40"/>
            </w:pPr>
            <w:r/>
            <w:r>
              <w:rPr>
                <w:rFonts w:ascii="Calibri" w:hAnsi="Calibri"/>
                <w:color w:val="565656"/>
                <w:sz w:val="17"/>
              </w:rPr>
              <w:t>₹2,00,000 to ₹3,00,000 (OSH s.94)</w:t>
            </w:r>
          </w:p>
        </w:tc>
      </w:tr>
    </w:tbl>
    <w:p>
      <w:pPr>
        <w:keepNext w:val="0"/>
        <w:spacing w:after="120" w:before="0"/>
      </w:pPr>
      <w:r>
        <w:rPr>
          <w:rFonts w:ascii="Calibri" w:hAnsi="Calibri"/>
          <w:b w:val="0"/>
          <w:i w:val="0"/>
          <w:color w:val="1D1D1D"/>
          <w:sz w:val="21"/>
        </w:rPr>
      </w:r>
    </w:p>
    <w:p>
      <w:pPr>
        <w:keepNext w:val="0"/>
        <w:spacing w:after="160" w:before="0"/>
      </w:pPr>
      <w:r>
        <w:rPr>
          <w:rFonts w:ascii="Calibri" w:hAnsi="Calibri"/>
          <w:b w:val="0"/>
          <w:i w:val="0"/>
          <w:color w:val="1D1D1D"/>
          <w:sz w:val="20"/>
        </w:rPr>
        <w:t>The listed industries are: factory, mine, building or other construction work, beedi and cigar premises, motor transport undertaking, dock work and plantation. A warehouse, office, store or hospital on its own is not on the list.</w:t>
      </w:r>
    </w:p>
    <w:p>
      <w:pPr>
        <w:keepNext w:val="0"/>
        <w:spacing w:after="160" w:before="0"/>
      </w:pPr>
      <w:r>
        <w:rPr>
          <w:rFonts w:ascii="Calibri" w:hAnsi="Calibri"/>
          <w:b w:val="0"/>
          <w:i w:val="0"/>
          <w:color w:val="1D1D1D"/>
          <w:sz w:val="20"/>
        </w:rPr>
        <w:t>'Ordinarily employed' is not defined in either Code. Our advice: count your usual headcount across the year, not the lowest day, and count again when it changes.</w:t>
      </w:r>
    </w:p>
    <w:p>
      <w:pPr>
        <w:keepNext w:val="0"/>
        <w:spacing w:after="160" w:before="0"/>
        <w:ind w:left="216"/>
        <w:shd w:val="clear" w:fill="FFF8E8"/>
      </w:pPr>
      <w:r>
        <w:rPr>
          <w:rFonts w:ascii="Calibri" w:hAnsi="Calibri"/>
          <w:b w:val="0"/>
          <w:i w:val="0"/>
          <w:color w:val="1D1D1D"/>
          <w:sz w:val="20"/>
        </w:rPr>
        <w:t>These Central rules reach every State, on our reading. Most labour rules split between the Central and State governments. Here, section 24 of the OSH Code and section 67 of the Social Security Code give the rule-making power to the Central Government itself (OSH Code s.134(2)(n), (o), (p)), and the OSH (Central) Rules extend to the whole of India. So a private factory in any State works to rules 53 and 58. For the creche under the Social Security Code, the Code itself makes the number (50) and the distance (one kilometre) the Central Government's to set; rule 37's other standards and the allowance are the clearest guide, and a State may add its own.</w:t>
      </w:r>
    </w:p>
    <w:p>
      <w:pPr>
        <w:spacing w:after="120"/>
        <w:ind w:left="288"/>
      </w:pPr>
      <w:r>
        <w:rPr>
          <w:rFonts w:ascii="Calibri" w:hAnsi="Calibri"/>
          <w:b/>
          <w:color w:val="0069A4"/>
          <w:sz w:val="17"/>
        </w:rPr>
        <w:t xml:space="preserve">Rests on  </w:t>
      </w:r>
      <w:r>
        <w:rPr>
          <w:rFonts w:ascii="Calibri" w:hAnsi="Calibri"/>
          <w:i/>
          <w:color w:val="565656"/>
          <w:sz w:val="17"/>
        </w:rPr>
        <w:t>Code on Social Security, 2020, s.2(26), s.67, First Schedule; OSH Code, 2020, s.24, s.94, s.134</w:t>
      </w:r>
    </w:p>
    <w:p>
      <w:r>
        <w:br w:type="page"/>
      </w:r>
    </w:p>
    <w:p>
      <w:pPr>
        <w:pStyle w:val="Heading1"/>
        <w:keepNext/>
        <w:spacing w:after="200" w:before="80"/>
        <w:ind w:left="115"/>
        <w:shd w:val="clear" w:fill="008CDB"/>
      </w:pPr>
      <w:r>
        <w:rPr>
          <w:rFonts w:ascii="Calibri" w:hAnsi="Calibri"/>
          <w:b/>
          <w:color w:val="FFFFFF"/>
          <w:sz w:val="22"/>
        </w:rPr>
        <w:t>2.  THE CRECHE</w:t>
      </w:r>
    </w:p>
    <w:p>
      <w:pPr>
        <w:keepNext w:val="0"/>
        <w:spacing w:after="160" w:before="0"/>
      </w:pPr>
      <w:r>
        <w:rPr>
          <w:rFonts w:ascii="Calibri" w:hAnsi="Calibri"/>
          <w:b w:val="0"/>
          <w:i w:val="0"/>
          <w:color w:val="1D1D1D"/>
          <w:sz w:val="20"/>
        </w:rPr>
        <w:t>Under the Social Security Code: where 50 or more employees are ordinarily employed, a creche for their children under six, within one kilometre, separately or shared. The mother gets four visits a day, her rest intervals included. Listed industries with more than 50 workers also meet rule 58 of the OSH rules, which adds safeguarding: police verification of staff, handing a child only to the named person, attendance at drop and pick-up, and an evacuation plan.</w:t>
      </w:r>
    </w:p>
    <w:p>
      <w:pPr>
        <w:pStyle w:val="Heading2"/>
        <w:keepNext/>
        <w:spacing w:after="60" w:before="160"/>
      </w:pPr>
      <w:r>
        <w:rPr>
          <w:rFonts w:ascii="Calibri" w:hAnsi="Calibri"/>
          <w:b/>
          <w:color w:val="1D1D1D"/>
          <w:sz w:val="21"/>
        </w:rPr>
        <w:t>A creche allowance instead</w:t>
      </w:r>
    </w:p>
    <w:p>
      <w:pPr>
        <w:keepNext w:val="0"/>
        <w:spacing w:after="120" w:before="0"/>
      </w:pPr>
      <w:r>
        <w:rPr>
          <w:rFonts w:ascii="Calibri" w:hAnsi="Calibri"/>
          <w:b w:val="0"/>
          <w:i w:val="0"/>
          <w:color w:val="1D1D1D"/>
          <w:sz w:val="20"/>
        </w:rPr>
        <w:t>Rule 37(viii) lets the employer agree, with the negotiating union or council (the union, or group of unions, recognised to bargain for your workers) or, where there is none, a majority of employees, that where no creche is provided, eligible employees are paid a creche allowance instead: not less than ₹500 a month a child, for two children, more only where a second birth is a multiple birth. Eligible means women, widowers and single parents with children under six. No agreement, no allowance route.</w:t>
      </w:r>
    </w:p>
    <w:p>
      <w:pPr>
        <w:keepNext w:val="0"/>
        <w:spacing w:after="160" w:before="0"/>
        <w:ind w:left="216"/>
        <w:shd w:val="clear" w:fill="FFF8E8"/>
      </w:pPr>
      <w:r>
        <w:rPr>
          <w:rFonts w:ascii="Calibri" w:hAnsi="Calibri"/>
          <w:b w:val="0"/>
          <w:i w:val="0"/>
          <w:color w:val="1D1D1D"/>
          <w:sz w:val="20"/>
        </w:rPr>
        <w:t>An alternative, not a release. Section 67 still says the establishment shall have a creche. Rule 37 lets an agreement provide for an allowance where one is not provided, and the annual return asks whether it was paid, but neither says the allowance discharges section 67. Our advice: keep the signed agreement on file, pay it every month, and expect an inspector to ask why there is no creche.</w:t>
      </w:r>
    </w:p>
    <w:p>
      <w:pPr>
        <w:keepNext w:val="0"/>
        <w:spacing w:after="120" w:before="0"/>
      </w:pPr>
      <w:r>
        <w:rPr>
          <w:rFonts w:ascii="Calibri" w:hAnsi="Calibri"/>
          <w:b w:val="0"/>
          <w:i w:val="0"/>
          <w:color w:val="1D1D1D"/>
          <w:sz w:val="20"/>
        </w:rPr>
        <w:t>An example: a single parent with three children under six, none twins, on the minimum allowance: ₹500 x 2 = ₹1,000 a month.</w:t>
      </w:r>
    </w:p>
    <w:p>
      <w:pPr>
        <w:spacing w:after="120"/>
        <w:ind w:left="288"/>
      </w:pPr>
      <w:r>
        <w:rPr>
          <w:rFonts w:ascii="Calibri" w:hAnsi="Calibri"/>
          <w:b/>
          <w:color w:val="0069A4"/>
          <w:sz w:val="17"/>
        </w:rPr>
        <w:t xml:space="preserve">Rests on  </w:t>
      </w:r>
      <w:r>
        <w:rPr>
          <w:rFonts w:ascii="Calibri" w:hAnsi="Calibri"/>
          <w:i/>
          <w:color w:val="565656"/>
          <w:sz w:val="17"/>
        </w:rPr>
        <w:t>Code on Social Security, 2020, s.67; SS (Central) Rules, 2026, rule 37; OSH (Central) Rules, 2026, rule 58</w:t>
      </w:r>
    </w:p>
    <w:p>
      <w:r>
        <w:br w:type="page"/>
      </w:r>
    </w:p>
    <w:p>
      <w:pPr>
        <w:pStyle w:val="Heading1"/>
        <w:keepNext/>
        <w:spacing w:after="200" w:before="80"/>
        <w:ind w:left="115"/>
        <w:shd w:val="clear" w:fill="008CDB"/>
      </w:pPr>
      <w:r>
        <w:rPr>
          <w:rFonts w:ascii="Calibri" w:hAnsi="Calibri"/>
          <w:b/>
          <w:color w:val="FFFFFF"/>
          <w:sz w:val="22"/>
        </w:rPr>
        <w:t>3.  THE CANTEEN</w:t>
      </w:r>
    </w:p>
    <w:p>
      <w:pPr>
        <w:keepNext w:val="0"/>
        <w:spacing w:after="160" w:before="0"/>
      </w:pPr>
      <w:r>
        <w:rPr>
          <w:rFonts w:ascii="Calibri" w:hAnsi="Calibri"/>
          <w:b w:val="0"/>
          <w:i w:val="0"/>
          <w:color w:val="1D1D1D"/>
          <w:sz w:val="20"/>
        </w:rPr>
        <w:t>Under section 24(1)(v) of the OSH Code: where 100 or more workers, contract labourers included, are ordinarily employed. Rule 53 applies it to the listed industries: a canteen in or adjacent to the premises, or a common one; nutritious food; a portion of the hall reserved for women and employees with disabilities; no profit, no loss prices fixed by a Canteen Managing Committee of equal employer and worker members, and displayed.</w:t>
      </w:r>
    </w:p>
    <w:p>
      <w:pPr>
        <w:keepNext w:val="0"/>
        <w:spacing w:after="120" w:before="0"/>
      </w:pPr>
      <w:r>
        <w:rPr>
          <w:rFonts w:ascii="Calibri" w:hAnsi="Calibri"/>
          <w:b w:val="0"/>
          <w:i w:val="0"/>
          <w:color w:val="1D1D1D"/>
          <w:sz w:val="20"/>
        </w:rPr>
        <w:t>Contract labour at your premises: where the contract labour rules apply, which is 50 or more contract labour on any day of the last twelve months (OSH Code s.45), rule 86(1)(iii) makes the principal employer provide the canteen and the creche for them.</w:t>
      </w:r>
    </w:p>
    <w:p>
      <w:pPr>
        <w:spacing w:after="120"/>
        <w:ind w:left="288"/>
      </w:pPr>
      <w:r>
        <w:rPr>
          <w:rFonts w:ascii="Calibri" w:hAnsi="Calibri"/>
          <w:b/>
          <w:color w:val="0069A4"/>
          <w:sz w:val="17"/>
        </w:rPr>
        <w:t xml:space="preserve">Rests on  </w:t>
      </w:r>
      <w:r>
        <w:rPr>
          <w:rFonts w:ascii="Calibri" w:hAnsi="Calibri"/>
          <w:i/>
          <w:color w:val="565656"/>
          <w:sz w:val="17"/>
        </w:rPr>
        <w:t>OSH Code, 2020, s.24(1)(v); OSH (Central) Rules, 2026, rules 53, 86</w:t>
      </w:r>
    </w:p>
    <w:p>
      <w:r>
        <w:br w:type="page"/>
      </w:r>
    </w:p>
    <w:p>
      <w:pPr>
        <w:pStyle w:val="Heading1"/>
        <w:keepNext/>
        <w:spacing w:after="200" w:before="80"/>
        <w:ind w:left="115"/>
        <w:shd w:val="clear" w:fill="008CDB"/>
      </w:pPr>
      <w:r>
        <w:rPr>
          <w:rFonts w:ascii="Calibri" w:hAnsi="Calibri"/>
          <w:b/>
          <w:color w:val="FFFFFF"/>
          <w:sz w:val="22"/>
        </w:rPr>
        <w:t>4.  FOUR WORKED EXAMPLES</w:t>
      </w:r>
    </w:p>
    <w:p>
      <w:pPr>
        <w:keepNext w:val="0"/>
        <w:spacing w:after="160" w:before="0"/>
      </w:pPr>
      <w:r>
        <w:rPr>
          <w:rFonts w:ascii="Calibri" w:hAnsi="Calibri"/>
          <w:b w:val="0"/>
          <w:i w:val="0"/>
          <w:color w:val="565656"/>
          <w:sz w:val="20"/>
        </w:rPr>
        <w:t>Every business and figure here is an example.</w:t>
      </w:r>
    </w:p>
    <w:tbl>
      <w:tblPr>
        <w:tblStyle w:val="TableGrid"/>
        <w:tblW w:type="auto" w:w="0"/>
        <w:tblLook w:firstColumn="1" w:firstRow="1" w:lastColumn="0" w:lastRow="0" w:noHBand="0" w:noVBand="1" w:val="04A0"/>
      </w:tblPr>
      <w:tblGrid>
        <w:gridCol w:w="1608"/>
        <w:gridCol w:w="1608"/>
        <w:gridCol w:w="1608"/>
        <w:gridCol w:w="1608"/>
        <w:gridCol w:w="1608"/>
        <w:gridCol w:w="1608"/>
      </w:tblGrid>
      <w:tr>
        <w:tc>
          <w:tcPr>
            <w:tcW w:type="dxa" w:w="2304"/>
          </w:tcPr>
          <w:p>
            <w:pPr>
              <w:spacing w:after="40"/>
              <w:shd w:val="clear" w:fill="E8F4FC"/>
            </w:pPr>
            <w:r/>
            <w:r>
              <w:rPr>
                <w:rFonts w:ascii="Calibri" w:hAnsi="Calibri"/>
                <w:b/>
                <w:color w:val="0069A4"/>
                <w:sz w:val="17"/>
              </w:rPr>
              <w:t>Business</w:t>
            </w:r>
          </w:p>
        </w:tc>
        <w:tc>
          <w:tcPr>
            <w:tcW w:type="dxa" w:w="1152"/>
          </w:tcPr>
          <w:p>
            <w:pPr>
              <w:spacing w:after="40"/>
              <w:shd w:val="clear" w:fill="E8F4FC"/>
            </w:pPr>
            <w:r/>
            <w:r>
              <w:rPr>
                <w:rFonts w:ascii="Calibri" w:hAnsi="Calibri"/>
                <w:b/>
                <w:color w:val="0069A4"/>
                <w:sz w:val="17"/>
              </w:rPr>
              <w:t>Employees</w:t>
            </w:r>
          </w:p>
        </w:tc>
        <w:tc>
          <w:tcPr>
            <w:tcW w:type="dxa" w:w="1152"/>
          </w:tcPr>
          <w:p>
            <w:pPr>
              <w:spacing w:after="40"/>
              <w:shd w:val="clear" w:fill="E8F4FC"/>
            </w:pPr>
            <w:r/>
            <w:r>
              <w:rPr>
                <w:rFonts w:ascii="Calibri" w:hAnsi="Calibri"/>
                <w:b/>
                <w:color w:val="0069A4"/>
                <w:sz w:val="17"/>
              </w:rPr>
              <w:t>Workers</w:t>
            </w:r>
          </w:p>
        </w:tc>
        <w:tc>
          <w:tcPr>
            <w:tcW w:type="dxa" w:w="1296"/>
          </w:tcPr>
          <w:p>
            <w:pPr>
              <w:spacing w:after="40"/>
              <w:shd w:val="clear" w:fill="E8F4FC"/>
            </w:pPr>
            <w:r/>
            <w:r>
              <w:rPr>
                <w:rFonts w:ascii="Calibri" w:hAnsi="Calibri"/>
                <w:b/>
                <w:color w:val="0069A4"/>
                <w:sz w:val="17"/>
              </w:rPr>
              <w:t>Creche (SS)</w:t>
            </w:r>
          </w:p>
        </w:tc>
        <w:tc>
          <w:tcPr>
            <w:tcW w:type="dxa" w:w="1584"/>
          </w:tcPr>
          <w:p>
            <w:pPr>
              <w:spacing w:after="40"/>
              <w:shd w:val="clear" w:fill="E8F4FC"/>
            </w:pPr>
            <w:r/>
            <w:r>
              <w:rPr>
                <w:rFonts w:ascii="Calibri" w:hAnsi="Calibri"/>
                <w:b/>
                <w:color w:val="0069A4"/>
                <w:sz w:val="17"/>
              </w:rPr>
              <w:t>Creche (OSH rule 58)</w:t>
            </w:r>
          </w:p>
        </w:tc>
        <w:tc>
          <w:tcPr>
            <w:tcW w:type="dxa" w:w="2160"/>
          </w:tcPr>
          <w:p>
            <w:pPr>
              <w:spacing w:after="40"/>
              <w:shd w:val="clear" w:fill="E8F4FC"/>
            </w:pPr>
            <w:r/>
            <w:r>
              <w:rPr>
                <w:rFonts w:ascii="Calibri" w:hAnsi="Calibri"/>
                <w:b/>
                <w:color w:val="0069A4"/>
                <w:sz w:val="17"/>
              </w:rPr>
              <w:t>Canteen</w:t>
            </w:r>
          </w:p>
        </w:tc>
      </w:tr>
      <w:tr>
        <w:tc>
          <w:tcPr>
            <w:tcW w:type="dxa" w:w="2304"/>
          </w:tcPr>
          <w:p>
            <w:pPr>
              <w:spacing w:after="40"/>
            </w:pPr>
            <w:r/>
            <w:r>
              <w:rPr>
                <w:rFonts w:ascii="Calibri" w:hAnsi="Calibri"/>
                <w:color w:val="565656"/>
                <w:sz w:val="17"/>
              </w:rPr>
              <w:t>An engineering factory (an example)</w:t>
            </w:r>
          </w:p>
        </w:tc>
        <w:tc>
          <w:tcPr>
            <w:tcW w:type="dxa" w:w="1152"/>
          </w:tcPr>
          <w:p>
            <w:pPr>
              <w:spacing w:after="40"/>
            </w:pPr>
            <w:r/>
            <w:r>
              <w:rPr>
                <w:rFonts w:ascii="Calibri" w:hAnsi="Calibri"/>
                <w:color w:val="565656"/>
                <w:sz w:val="17"/>
              </w:rPr>
              <w:t>80</w:t>
            </w:r>
          </w:p>
        </w:tc>
        <w:tc>
          <w:tcPr>
            <w:tcW w:type="dxa" w:w="1152"/>
          </w:tcPr>
          <w:p>
            <w:pPr>
              <w:spacing w:after="40"/>
            </w:pPr>
            <w:r/>
            <w:r>
              <w:rPr>
                <w:rFonts w:ascii="Calibri" w:hAnsi="Calibri"/>
                <w:color w:val="565656"/>
                <w:sz w:val="17"/>
              </w:rPr>
              <w:t>62</w:t>
            </w:r>
          </w:p>
        </w:tc>
        <w:tc>
          <w:tcPr>
            <w:tcW w:type="dxa" w:w="1296"/>
          </w:tcPr>
          <w:p>
            <w:pPr>
              <w:spacing w:after="40"/>
            </w:pPr>
            <w:r/>
            <w:r>
              <w:rPr>
                <w:rFonts w:ascii="Calibri" w:hAnsi="Calibri"/>
                <w:color w:val="565656"/>
                <w:sz w:val="17"/>
              </w:rPr>
              <w:t>Yes</w:t>
            </w:r>
          </w:p>
        </w:tc>
        <w:tc>
          <w:tcPr>
            <w:tcW w:type="dxa" w:w="1584"/>
          </w:tcPr>
          <w:p>
            <w:pPr>
              <w:spacing w:after="40"/>
            </w:pPr>
            <w:r/>
            <w:r>
              <w:rPr>
                <w:rFonts w:ascii="Calibri" w:hAnsi="Calibri"/>
                <w:color w:val="565656"/>
                <w:sz w:val="17"/>
              </w:rPr>
              <w:t>Yes</w:t>
            </w:r>
          </w:p>
        </w:tc>
        <w:tc>
          <w:tcPr>
            <w:tcW w:type="dxa" w:w="2160"/>
          </w:tcPr>
          <w:p>
            <w:pPr>
              <w:spacing w:after="40"/>
            </w:pPr>
            <w:r/>
            <w:r>
              <w:rPr>
                <w:rFonts w:ascii="Calibri" w:hAnsi="Calibri"/>
                <w:color w:val="565656"/>
                <w:sz w:val="17"/>
              </w:rPr>
              <w:t>No</w:t>
            </w:r>
          </w:p>
        </w:tc>
      </w:tr>
      <w:tr>
        <w:tc>
          <w:tcPr>
            <w:tcW w:type="dxa" w:w="2304"/>
          </w:tcPr>
          <w:p>
            <w:pPr>
              <w:spacing w:after="40"/>
            </w:pPr>
            <w:r/>
            <w:r>
              <w:rPr>
                <w:rFonts w:ascii="Calibri" w:hAnsi="Calibri"/>
                <w:color w:val="565656"/>
                <w:sz w:val="17"/>
              </w:rPr>
              <w:t>A hospital (an example)</w:t>
            </w:r>
          </w:p>
        </w:tc>
        <w:tc>
          <w:tcPr>
            <w:tcW w:type="dxa" w:w="1152"/>
          </w:tcPr>
          <w:p>
            <w:pPr>
              <w:spacing w:after="40"/>
            </w:pPr>
            <w:r/>
            <w:r>
              <w:rPr>
                <w:rFonts w:ascii="Calibri" w:hAnsi="Calibri"/>
                <w:color w:val="565656"/>
                <w:sz w:val="17"/>
              </w:rPr>
              <w:t>140</w:t>
            </w:r>
          </w:p>
        </w:tc>
        <w:tc>
          <w:tcPr>
            <w:tcW w:type="dxa" w:w="1152"/>
          </w:tcPr>
          <w:p>
            <w:pPr>
              <w:spacing w:after="40"/>
            </w:pPr>
            <w:r/>
            <w:r>
              <w:rPr>
                <w:rFonts w:ascii="Calibri" w:hAnsi="Calibri"/>
                <w:color w:val="565656"/>
                <w:sz w:val="17"/>
              </w:rPr>
              <w:t>110</w:t>
            </w:r>
          </w:p>
        </w:tc>
        <w:tc>
          <w:tcPr>
            <w:tcW w:type="dxa" w:w="1296"/>
          </w:tcPr>
          <w:p>
            <w:pPr>
              <w:spacing w:after="40"/>
            </w:pPr>
            <w:r/>
            <w:r>
              <w:rPr>
                <w:rFonts w:ascii="Calibri" w:hAnsi="Calibri"/>
                <w:color w:val="565656"/>
                <w:sz w:val="17"/>
              </w:rPr>
              <w:t>Yes</w:t>
            </w:r>
          </w:p>
        </w:tc>
        <w:tc>
          <w:tcPr>
            <w:tcW w:type="dxa" w:w="1584"/>
          </w:tcPr>
          <w:p>
            <w:pPr>
              <w:spacing w:after="40"/>
            </w:pPr>
            <w:r/>
            <w:r>
              <w:rPr>
                <w:rFonts w:ascii="Calibri" w:hAnsi="Calibri"/>
                <w:color w:val="565656"/>
                <w:sz w:val="17"/>
              </w:rPr>
              <w:t>Not listed</w:t>
            </w:r>
          </w:p>
        </w:tc>
        <w:tc>
          <w:tcPr>
            <w:tcW w:type="dxa" w:w="2160"/>
          </w:tcPr>
          <w:p>
            <w:pPr>
              <w:spacing w:after="40"/>
            </w:pPr>
            <w:r/>
            <w:r>
              <w:rPr>
                <w:rFonts w:ascii="Calibri" w:hAnsi="Calibri"/>
                <w:color w:val="565656"/>
                <w:sz w:val="17"/>
              </w:rPr>
              <w:t>Open: the Code reaches you at 100, rule 53 does not name you</w:t>
            </w:r>
          </w:p>
        </w:tc>
      </w:tr>
      <w:tr>
        <w:tc>
          <w:tcPr>
            <w:tcW w:type="dxa" w:w="2304"/>
          </w:tcPr>
          <w:p>
            <w:pPr>
              <w:spacing w:after="40"/>
            </w:pPr>
            <w:r/>
            <w:r>
              <w:rPr>
                <w:rFonts w:ascii="Calibri" w:hAnsi="Calibri"/>
                <w:color w:val="565656"/>
                <w:sz w:val="17"/>
              </w:rPr>
              <w:t>A retail store (an example)</w:t>
            </w:r>
          </w:p>
        </w:tc>
        <w:tc>
          <w:tcPr>
            <w:tcW w:type="dxa" w:w="1152"/>
          </w:tcPr>
          <w:p>
            <w:pPr>
              <w:spacing w:after="40"/>
            </w:pPr>
            <w:r/>
            <w:r>
              <w:rPr>
                <w:rFonts w:ascii="Calibri" w:hAnsi="Calibri"/>
                <w:color w:val="565656"/>
                <w:sz w:val="17"/>
              </w:rPr>
              <w:t>45</w:t>
            </w:r>
          </w:p>
        </w:tc>
        <w:tc>
          <w:tcPr>
            <w:tcW w:type="dxa" w:w="1152"/>
          </w:tcPr>
          <w:p>
            <w:pPr>
              <w:spacing w:after="40"/>
            </w:pPr>
            <w:r/>
            <w:r>
              <w:rPr>
                <w:rFonts w:ascii="Calibri" w:hAnsi="Calibri"/>
                <w:color w:val="565656"/>
                <w:sz w:val="17"/>
              </w:rPr>
              <w:t>40</w:t>
            </w:r>
          </w:p>
        </w:tc>
        <w:tc>
          <w:tcPr>
            <w:tcW w:type="dxa" w:w="1296"/>
          </w:tcPr>
          <w:p>
            <w:pPr>
              <w:spacing w:after="40"/>
            </w:pPr>
            <w:r/>
            <w:r>
              <w:rPr>
                <w:rFonts w:ascii="Calibri" w:hAnsi="Calibri"/>
                <w:color w:val="565656"/>
                <w:sz w:val="17"/>
              </w:rPr>
              <w:t>No</w:t>
            </w:r>
          </w:p>
        </w:tc>
        <w:tc>
          <w:tcPr>
            <w:tcW w:type="dxa" w:w="1584"/>
          </w:tcPr>
          <w:p>
            <w:pPr>
              <w:spacing w:after="40"/>
            </w:pPr>
            <w:r/>
            <w:r>
              <w:rPr>
                <w:rFonts w:ascii="Calibri" w:hAnsi="Calibri"/>
                <w:color w:val="565656"/>
                <w:sz w:val="17"/>
              </w:rPr>
              <w:t>Not listed</w:t>
            </w:r>
          </w:p>
        </w:tc>
        <w:tc>
          <w:tcPr>
            <w:tcW w:type="dxa" w:w="2160"/>
          </w:tcPr>
          <w:p>
            <w:pPr>
              <w:spacing w:after="40"/>
            </w:pPr>
            <w:r/>
            <w:r>
              <w:rPr>
                <w:rFonts w:ascii="Calibri" w:hAnsi="Calibri"/>
                <w:color w:val="565656"/>
                <w:sz w:val="17"/>
              </w:rPr>
              <w:t>No</w:t>
            </w:r>
          </w:p>
        </w:tc>
      </w:tr>
      <w:tr>
        <w:tc>
          <w:tcPr>
            <w:tcW w:type="dxa" w:w="2304"/>
          </w:tcPr>
          <w:p>
            <w:pPr>
              <w:spacing w:after="40"/>
            </w:pPr>
            <w:r/>
            <w:r>
              <w:rPr>
                <w:rFonts w:ascii="Calibri" w:hAnsi="Calibri"/>
                <w:color w:val="565656"/>
                <w:sz w:val="17"/>
              </w:rPr>
              <w:t>A construction site (an example)</w:t>
            </w:r>
          </w:p>
        </w:tc>
        <w:tc>
          <w:tcPr>
            <w:tcW w:type="dxa" w:w="1152"/>
          </w:tcPr>
          <w:p>
            <w:pPr>
              <w:spacing w:after="40"/>
            </w:pPr>
            <w:r/>
            <w:r>
              <w:rPr>
                <w:rFonts w:ascii="Calibri" w:hAnsi="Calibri"/>
                <w:color w:val="565656"/>
                <w:sz w:val="17"/>
              </w:rPr>
              <w:t>160</w:t>
            </w:r>
          </w:p>
        </w:tc>
        <w:tc>
          <w:tcPr>
            <w:tcW w:type="dxa" w:w="1152"/>
          </w:tcPr>
          <w:p>
            <w:pPr>
              <w:spacing w:after="40"/>
            </w:pPr>
            <w:r/>
            <w:r>
              <w:rPr>
                <w:rFonts w:ascii="Calibri" w:hAnsi="Calibri"/>
                <w:color w:val="565656"/>
                <w:sz w:val="17"/>
              </w:rPr>
              <w:t>150</w:t>
            </w:r>
          </w:p>
        </w:tc>
        <w:tc>
          <w:tcPr>
            <w:tcW w:type="dxa" w:w="1296"/>
          </w:tcPr>
          <w:p>
            <w:pPr>
              <w:spacing w:after="40"/>
            </w:pPr>
            <w:r/>
            <w:r>
              <w:rPr>
                <w:rFonts w:ascii="Calibri" w:hAnsi="Calibri"/>
                <w:color w:val="565656"/>
                <w:sz w:val="17"/>
              </w:rPr>
              <w:t>Yes</w:t>
            </w:r>
          </w:p>
        </w:tc>
        <w:tc>
          <w:tcPr>
            <w:tcW w:type="dxa" w:w="1584"/>
          </w:tcPr>
          <w:p>
            <w:pPr>
              <w:spacing w:after="40"/>
            </w:pPr>
            <w:r/>
            <w:r>
              <w:rPr>
                <w:rFonts w:ascii="Calibri" w:hAnsi="Calibri"/>
                <w:color w:val="565656"/>
                <w:sz w:val="17"/>
              </w:rPr>
              <w:t>Yes</w:t>
            </w:r>
          </w:p>
        </w:tc>
        <w:tc>
          <w:tcPr>
            <w:tcW w:type="dxa" w:w="2160"/>
          </w:tcPr>
          <w:p>
            <w:pPr>
              <w:spacing w:after="40"/>
            </w:pPr>
            <w:r/>
            <w:r>
              <w:rPr>
                <w:rFonts w:ascii="Calibri" w:hAnsi="Calibri"/>
                <w:color w:val="565656"/>
                <w:sz w:val="17"/>
              </w:rPr>
              <w:t>Yes</w:t>
            </w:r>
          </w:p>
        </w:tc>
      </w:tr>
    </w:tbl>
    <w:p>
      <w:pPr>
        <w:keepNext w:val="0"/>
        <w:spacing w:after="80" w:before="0"/>
      </w:pPr>
      <w:r>
        <w:rPr>
          <w:rFonts w:ascii="Calibri" w:hAnsi="Calibri"/>
          <w:b w:val="0"/>
          <w:i w:val="0"/>
          <w:color w:val="1D1D1D"/>
          <w:sz w:val="21"/>
        </w:rPr>
      </w:r>
    </w:p>
    <w:p>
      <w:pPr>
        <w:keepNext w:val="0"/>
        <w:spacing w:after="120" w:before="0"/>
      </w:pPr>
      <w:r>
        <w:rPr>
          <w:rFonts w:ascii="Calibri" w:hAnsi="Calibri"/>
          <w:b w:val="0"/>
          <w:i/>
          <w:color w:val="565656"/>
          <w:sz w:val="18"/>
        </w:rPr>
        <w:t>The hospital shows the gap: 110 workers, but not a listed industry, so rule 53 does not name it. Section 7 says why that is open.</w:t>
      </w:r>
    </w:p>
    <w:p>
      <w:r>
        <w:br w:type="page"/>
      </w:r>
    </w:p>
    <w:p>
      <w:pPr>
        <w:pStyle w:val="Heading1"/>
        <w:keepNext/>
        <w:spacing w:after="200" w:before="80"/>
        <w:ind w:left="115"/>
        <w:shd w:val="clear" w:fill="008CDB"/>
      </w:pPr>
      <w:r>
        <w:rPr>
          <w:rFonts w:ascii="Calibri" w:hAnsi="Calibri"/>
          <w:b/>
          <w:color w:val="FFFFFF"/>
          <w:sz w:val="22"/>
        </w:rPr>
        <w:t>5.  SIX FORMATS</w:t>
      </w:r>
    </w:p>
    <w:p>
      <w:pPr>
        <w:keepNext w:val="0"/>
        <w:spacing w:after="160" w:before="0"/>
      </w:pPr>
      <w:r>
        <w:rPr>
          <w:rFonts w:ascii="Calibri" w:hAnsi="Calibri"/>
          <w:b w:val="0"/>
          <w:i w:val="0"/>
          <w:color w:val="565656"/>
          <w:sz w:val="20"/>
        </w:rPr>
        <w:t>Everything in [CAPITALS] is yours to fill or delete. Where a bracket offers choices split by '/', keep one.</w:t>
      </w:r>
    </w:p>
    <w:p>
      <w:pPr>
        <w:pStyle w:val="Heading1"/>
        <w:keepNext/>
        <w:spacing w:after="200" w:before="80"/>
        <w:ind w:left="115"/>
        <w:shd w:val="clear" w:fill="0069A4"/>
      </w:pPr>
      <w:r>
        <w:rPr>
          <w:rFonts w:ascii="Calibri" w:hAnsi="Calibri"/>
          <w:b/>
          <w:color w:val="FFFFFF"/>
          <w:sz w:val="20"/>
        </w:rPr>
        <w:t>FORMAT 01  ·  DO THESE APPLY TO US?</w:t>
      </w:r>
    </w:p>
    <w:p>
      <w:pPr>
        <w:keepNext w:val="0"/>
        <w:spacing w:after="120" w:before="0"/>
        <w:ind w:left="144"/>
        <w:shd w:val="clear" w:fill="F4FAFE"/>
      </w:pPr>
      <w:r>
        <w:rPr>
          <w:rFonts w:ascii="Calibri" w:hAnsi="Calibri"/>
          <w:b w:val="0"/>
          <w:i/>
          <w:color w:val="565656"/>
          <w:sz w:val="18"/>
        </w:rPr>
        <w:t>Note for HR, delete before sending: For HR. Two counts, two industries lists, three answers.</w:t>
      </w:r>
    </w:p>
    <w:p>
      <w:pPr>
        <w:keepNext w:val="0"/>
        <w:spacing w:after="120" w:before="0"/>
        <w:ind w:left="144"/>
      </w:pPr>
      <w:r>
        <w:rPr>
          <w:rFonts w:ascii="Calibri" w:hAnsi="Calibri"/>
          <w:b w:val="0"/>
          <w:i/>
          <w:color w:val="565656"/>
          <w:sz w:val="16"/>
        </w:rPr>
        <w:t>The form starts below.</w:t>
      </w:r>
    </w:p>
    <w:p>
      <w:pPr>
        <w:keepNext w:val="0"/>
        <w:spacing w:after="100" w:before="0"/>
      </w:pPr>
      <w:r>
        <w:rPr>
          <w:rFonts w:ascii="Calibri" w:hAnsi="Calibri"/>
          <w:b w:val="0"/>
          <w:i w:val="0"/>
          <w:color w:val="1D1D1D"/>
          <w:sz w:val="20"/>
        </w:rPr>
        <w:t>Establishment: [NAME, ADDRESS, STATE]</w:t>
      </w:r>
    </w:p>
    <w:tbl>
      <w:tblPr>
        <w:tblStyle w:val="TableGrid"/>
        <w:tblW w:type="auto" w:w="0"/>
        <w:tblLook w:firstColumn="1" w:firstRow="1" w:lastColumn="0" w:lastRow="0" w:noHBand="0" w:noVBand="1" w:val="04A0"/>
      </w:tblPr>
      <w:tblGrid>
        <w:gridCol w:w="4824"/>
        <w:gridCol w:w="4824"/>
      </w:tblGrid>
      <w:tr>
        <w:tc>
          <w:tcPr>
            <w:tcW w:type="dxa" w:w="6192"/>
          </w:tcPr>
          <w:p>
            <w:pPr>
              <w:spacing w:after="40"/>
              <w:shd w:val="clear" w:fill="E8F4FC"/>
            </w:pPr>
            <w:r/>
            <w:r>
              <w:rPr>
                <w:rFonts w:ascii="Calibri" w:hAnsi="Calibri"/>
                <w:b/>
                <w:color w:val="0069A4"/>
                <w:sz w:val="18"/>
              </w:rPr>
              <w:t>Question</w:t>
            </w:r>
          </w:p>
        </w:tc>
        <w:tc>
          <w:tcPr>
            <w:tcW w:type="dxa" w:w="3168"/>
          </w:tcPr>
          <w:p>
            <w:pPr>
              <w:spacing w:after="40"/>
              <w:shd w:val="clear" w:fill="E8F4FC"/>
            </w:pPr>
            <w:r/>
            <w:r>
              <w:rPr>
                <w:rFonts w:ascii="Calibri" w:hAnsi="Calibri"/>
                <w:b/>
                <w:color w:val="0069A4"/>
                <w:sz w:val="18"/>
              </w:rPr>
              <w:t>Answer</w:t>
            </w:r>
          </w:p>
        </w:tc>
      </w:tr>
      <w:tr>
        <w:tc>
          <w:tcPr>
            <w:tcW w:type="dxa" w:w="6192"/>
          </w:tcPr>
          <w:p>
            <w:pPr>
              <w:spacing w:after="40"/>
            </w:pPr>
            <w:r/>
            <w:r>
              <w:rPr>
                <w:rFonts w:ascii="Calibri" w:hAnsi="Calibri"/>
                <w:color w:val="565656"/>
                <w:sz w:val="18"/>
              </w:rPr>
              <w:t>1. Employees: everyone on wages, contract staff and managers included, apprentices out. Usual headcount, not the lowest day</w:t>
            </w:r>
          </w:p>
        </w:tc>
        <w:tc>
          <w:tcPr>
            <w:tcW w:type="dxa" w:w="3168"/>
          </w:tcPr>
          <w:p>
            <w:pPr>
              <w:spacing w:after="40"/>
            </w:pPr>
            <w:r/>
            <w:r>
              <w:rPr>
                <w:rFonts w:ascii="Calibri" w:hAnsi="Calibri"/>
                <w:color w:val="565656"/>
                <w:sz w:val="18"/>
              </w:rPr>
              <w:t>[NUMBER]</w:t>
            </w:r>
          </w:p>
        </w:tc>
      </w:tr>
      <w:tr>
        <w:tc>
          <w:tcPr>
            <w:tcW w:type="dxa" w:w="6192"/>
          </w:tcPr>
          <w:p>
            <w:pPr>
              <w:spacing w:after="40"/>
            </w:pPr>
            <w:r/>
            <w:r>
              <w:rPr>
                <w:rFonts w:ascii="Calibri" w:hAnsi="Calibri"/>
                <w:color w:val="565656"/>
                <w:sz w:val="18"/>
              </w:rPr>
              <w:t>2. Workers: contract labourers included, managers and supervisors over ₹18,000 out</w:t>
            </w:r>
          </w:p>
        </w:tc>
        <w:tc>
          <w:tcPr>
            <w:tcW w:type="dxa" w:w="3168"/>
          </w:tcPr>
          <w:p>
            <w:pPr>
              <w:spacing w:after="40"/>
            </w:pPr>
            <w:r/>
            <w:r>
              <w:rPr>
                <w:rFonts w:ascii="Calibri" w:hAnsi="Calibri"/>
                <w:color w:val="565656"/>
                <w:sz w:val="18"/>
              </w:rPr>
              <w:t>[NUMBER]</w:t>
            </w:r>
          </w:p>
        </w:tc>
      </w:tr>
      <w:tr>
        <w:tc>
          <w:tcPr>
            <w:tcW w:type="dxa" w:w="6192"/>
          </w:tcPr>
          <w:p>
            <w:pPr>
              <w:spacing w:after="40"/>
            </w:pPr>
            <w:r/>
            <w:r>
              <w:rPr>
                <w:rFonts w:ascii="Calibri" w:hAnsi="Calibri"/>
                <w:color w:val="565656"/>
                <w:sz w:val="18"/>
              </w:rPr>
              <w:t>3. Listed industry? Factory, mine, construction, beedi and cigar, motor transport, dock work, plantation. A warehouse, office, store or hospital on its own is not listed</w:t>
            </w:r>
          </w:p>
        </w:tc>
        <w:tc>
          <w:tcPr>
            <w:tcW w:type="dxa" w:w="3168"/>
          </w:tcPr>
          <w:p>
            <w:pPr>
              <w:spacing w:after="40"/>
            </w:pPr>
            <w:r/>
            <w:r>
              <w:rPr>
                <w:rFonts w:ascii="Calibri" w:hAnsi="Calibri"/>
                <w:color w:val="565656"/>
                <w:sz w:val="18"/>
              </w:rPr>
              <w:t>[YES: WHICH / NO]</w:t>
            </w:r>
          </w:p>
        </w:tc>
      </w:tr>
      <w:tr>
        <w:tc>
          <w:tcPr>
            <w:tcW w:type="dxa" w:w="6192"/>
          </w:tcPr>
          <w:p>
            <w:pPr>
              <w:spacing w:after="40"/>
            </w:pPr>
            <w:r/>
            <w:r>
              <w:rPr>
                <w:rFonts w:ascii="Calibri" w:hAnsi="Calibri"/>
                <w:color w:val="565656"/>
                <w:sz w:val="18"/>
              </w:rPr>
              <w:t>4. Contract labour working at our premises</w:t>
            </w:r>
          </w:p>
        </w:tc>
        <w:tc>
          <w:tcPr>
            <w:tcW w:type="dxa" w:w="3168"/>
          </w:tcPr>
          <w:p>
            <w:pPr>
              <w:spacing w:after="40"/>
            </w:pPr>
            <w:r/>
            <w:r>
              <w:rPr>
                <w:rFonts w:ascii="Calibri" w:hAnsi="Calibri"/>
                <w:color w:val="565656"/>
                <w:sz w:val="18"/>
              </w:rPr>
              <w:t>[NONE / NUMBER]</w:t>
            </w:r>
          </w:p>
        </w:tc>
      </w:tr>
    </w:tbl>
    <w:p>
      <w:pPr>
        <w:keepNext w:val="0"/>
        <w:spacing w:after="80" w:before="0"/>
      </w:pPr>
      <w:r>
        <w:rPr>
          <w:rFonts w:ascii="Calibri" w:hAnsi="Calibri"/>
          <w:b w:val="0"/>
          <w:i w:val="0"/>
          <w:color w:val="1D1D1D"/>
          <w:sz w:val="21"/>
        </w:rPr>
      </w:r>
    </w:p>
    <w:p>
      <w:pPr>
        <w:keepNext w:val="0"/>
        <w:spacing w:after="100" w:before="0"/>
      </w:pPr>
      <w:r>
        <w:rPr>
          <w:rFonts w:ascii="Calibri" w:hAnsi="Calibri"/>
          <w:b w:val="0"/>
          <w:i w:val="0"/>
          <w:color w:val="1D1D1D"/>
          <w:sz w:val="20"/>
        </w:rPr>
        <w:t>Results: creche under the Social Security Code if row 1 is 50 or more. Creche under OSH rule 58 if row 3 is a listed industry and row 2 is more than 50. Canteen if row 3 is a listed industry and row 2 is 100 or more; if row 2 is 100 or more but row 3 is not listed, see section 7.</w:t>
      </w:r>
    </w:p>
    <w:p>
      <w:pPr>
        <w:keepNext w:val="0"/>
        <w:spacing w:after="100" w:before="0"/>
      </w:pPr>
      <w:r>
        <w:rPr>
          <w:rFonts w:ascii="Calibri" w:hAnsi="Calibri"/>
          <w:b w:val="0"/>
          <w:i w:val="0"/>
          <w:color w:val="1D1D1D"/>
          <w:sz w:val="20"/>
        </w:rPr>
        <w:t>Checked by: [NAME]     Date: [DD-MMM-YYYY]</w:t>
      </w:r>
    </w:p>
    <w:p>
      <w:r>
        <w:br w:type="page"/>
      </w:r>
    </w:p>
    <w:p>
      <w:pPr>
        <w:pStyle w:val="Heading1"/>
        <w:keepNext/>
        <w:spacing w:after="200" w:before="80"/>
        <w:ind w:left="115"/>
        <w:shd w:val="clear" w:fill="0069A4"/>
      </w:pPr>
      <w:r>
        <w:rPr>
          <w:rFonts w:ascii="Calibri" w:hAnsi="Calibri"/>
          <w:b/>
          <w:color w:val="FFFFFF"/>
          <w:sz w:val="20"/>
        </w:rPr>
        <w:t>FORMAT 02  ·  CRECHE CHECKLIST</w:t>
      </w:r>
    </w:p>
    <w:p>
      <w:pPr>
        <w:keepNext w:val="0"/>
        <w:spacing w:after="120" w:before="0"/>
        <w:ind w:left="144"/>
        <w:shd w:val="clear" w:fill="F4FAFE"/>
      </w:pPr>
      <w:r>
        <w:rPr>
          <w:rFonts w:ascii="Calibri" w:hAnsi="Calibri"/>
          <w:b w:val="0"/>
          <w:i/>
          <w:color w:val="565656"/>
          <w:sz w:val="18"/>
        </w:rPr>
        <w:t>Note for HR, delete before sending: For HR and the admin team, before opening and every quarter.</w:t>
      </w:r>
    </w:p>
    <w:p>
      <w:pPr>
        <w:keepNext w:val="0"/>
        <w:spacing w:after="120" w:before="0"/>
        <w:ind w:left="144"/>
      </w:pPr>
      <w:r>
        <w:rPr>
          <w:rFonts w:ascii="Calibri" w:hAnsi="Calibri"/>
          <w:b w:val="0"/>
          <w:i/>
          <w:color w:val="565656"/>
          <w:sz w:val="16"/>
        </w:rPr>
        <w:t>The checklist starts below.</w:t>
      </w:r>
    </w:p>
    <w:tbl>
      <w:tblPr>
        <w:tblStyle w:val="TableGrid"/>
        <w:tblW w:type="auto" w:w="0"/>
        <w:tblLook w:firstColumn="1" w:firstRow="1" w:lastColumn="0" w:lastRow="0" w:noHBand="0" w:noVBand="1" w:val="04A0"/>
      </w:tblPr>
      <w:tblGrid>
        <w:gridCol w:w="3216"/>
        <w:gridCol w:w="3216"/>
        <w:gridCol w:w="3216"/>
      </w:tblGrid>
      <w:tr>
        <w:tc>
          <w:tcPr>
            <w:tcW w:type="dxa" w:w="6048"/>
          </w:tcPr>
          <w:p>
            <w:pPr>
              <w:spacing w:after="40"/>
              <w:shd w:val="clear" w:fill="E8F4FC"/>
            </w:pPr>
            <w:r/>
            <w:r>
              <w:rPr>
                <w:rFonts w:ascii="Calibri" w:hAnsi="Calibri"/>
                <w:b/>
                <w:color w:val="0069A4"/>
                <w:sz w:val="17"/>
              </w:rPr>
              <w:t>Check</w:t>
            </w:r>
          </w:p>
        </w:tc>
        <w:tc>
          <w:tcPr>
            <w:tcW w:type="dxa" w:w="2016"/>
          </w:tcPr>
          <w:p>
            <w:pPr>
              <w:spacing w:after="40"/>
              <w:shd w:val="clear" w:fill="E8F4FC"/>
            </w:pPr>
            <w:r/>
            <w:r>
              <w:rPr>
                <w:rFonts w:ascii="Calibri" w:hAnsi="Calibri"/>
                <w:b/>
                <w:color w:val="0069A4"/>
                <w:sz w:val="17"/>
              </w:rPr>
              <w:t>Rule</w:t>
            </w:r>
          </w:p>
        </w:tc>
        <w:tc>
          <w:tcPr>
            <w:tcW w:type="dxa" w:w="1296"/>
          </w:tcPr>
          <w:p>
            <w:pPr>
              <w:spacing w:after="40"/>
              <w:shd w:val="clear" w:fill="E8F4FC"/>
            </w:pPr>
            <w:r/>
            <w:r>
              <w:rPr>
                <w:rFonts w:ascii="Calibri" w:hAnsi="Calibri"/>
                <w:b/>
                <w:color w:val="0069A4"/>
                <w:sz w:val="17"/>
              </w:rPr>
              <w:t>In place?</w:t>
            </w:r>
          </w:p>
        </w:tc>
      </w:tr>
      <w:tr>
        <w:tc>
          <w:tcPr>
            <w:tcW w:type="dxa" w:w="6048"/>
          </w:tcPr>
          <w:p>
            <w:pPr>
              <w:spacing w:after="40"/>
            </w:pPr>
            <w:r/>
            <w:r>
              <w:rPr>
                <w:rFonts w:ascii="Calibri" w:hAnsi="Calibri"/>
                <w:color w:val="565656"/>
                <w:sz w:val="17"/>
              </w:rPr>
              <w:t>Within one kilometre of the establishment</w:t>
            </w:r>
          </w:p>
        </w:tc>
        <w:tc>
          <w:tcPr>
            <w:tcW w:type="dxa" w:w="2016"/>
          </w:tcPr>
          <w:p>
            <w:pPr>
              <w:spacing w:after="40"/>
            </w:pPr>
            <w:r/>
            <w:r>
              <w:rPr>
                <w:rFonts w:ascii="Calibri" w:hAnsi="Calibri"/>
                <w:color w:val="565656"/>
                <w:sz w:val="17"/>
              </w:rPr>
              <w:t>rule 37(2)(i)</w:t>
            </w:r>
          </w:p>
        </w:tc>
        <w:tc>
          <w:tcPr>
            <w:tcW w:type="dxa" w:w="1296"/>
          </w:tcPr>
          <w:p>
            <w:pPr>
              <w:spacing w:after="40"/>
            </w:pPr>
            <w:r/>
            <w:r>
              <w:rPr>
                <w:rFonts w:ascii="Calibri" w:hAnsi="Calibri"/>
                <w:color w:val="565656"/>
                <w:sz w:val="17"/>
              </w:rPr>
              <w:t>Yes / No</w:t>
            </w:r>
          </w:p>
        </w:tc>
      </w:tr>
      <w:tr>
        <w:tc>
          <w:tcPr>
            <w:tcW w:type="dxa" w:w="6048"/>
          </w:tcPr>
          <w:p>
            <w:pPr>
              <w:spacing w:after="40"/>
            </w:pPr>
            <w:r/>
            <w:r>
              <w:rPr>
                <w:rFonts w:ascii="Calibri" w:hAnsi="Calibri"/>
                <w:color w:val="565656"/>
                <w:sz w:val="17"/>
              </w:rPr>
              <w:t>Safe, rain-proof building; lit and ventilated; clean</w:t>
            </w:r>
          </w:p>
        </w:tc>
        <w:tc>
          <w:tcPr>
            <w:tcW w:type="dxa" w:w="2016"/>
          </w:tcPr>
          <w:p>
            <w:pPr>
              <w:spacing w:after="40"/>
            </w:pPr>
            <w:r/>
            <w:r>
              <w:rPr>
                <w:rFonts w:ascii="Calibri" w:hAnsi="Calibri"/>
                <w:color w:val="565656"/>
                <w:sz w:val="17"/>
              </w:rPr>
              <w:t>rule 37(2)(ii)</w:t>
            </w:r>
          </w:p>
        </w:tc>
        <w:tc>
          <w:tcPr>
            <w:tcW w:type="dxa" w:w="1296"/>
          </w:tcPr>
          <w:p>
            <w:pPr>
              <w:spacing w:after="40"/>
            </w:pPr>
            <w:r/>
            <w:r>
              <w:rPr>
                <w:rFonts w:ascii="Calibri" w:hAnsi="Calibri"/>
                <w:color w:val="565656"/>
                <w:sz w:val="17"/>
              </w:rPr>
              <w:t>Yes / No</w:t>
            </w:r>
          </w:p>
        </w:tc>
      </w:tr>
      <w:tr>
        <w:tc>
          <w:tcPr>
            <w:tcW w:type="dxa" w:w="6048"/>
          </w:tcPr>
          <w:p>
            <w:pPr>
              <w:spacing w:after="40"/>
            </w:pPr>
            <w:r/>
            <w:r>
              <w:rPr>
                <w:rFonts w:ascii="Calibri" w:hAnsi="Calibri"/>
                <w:color w:val="565656"/>
                <w:sz w:val="17"/>
              </w:rPr>
              <w:t>At least ten square feet a child; a fenced play area</w:t>
            </w:r>
          </w:p>
        </w:tc>
        <w:tc>
          <w:tcPr>
            <w:tcW w:type="dxa" w:w="2016"/>
          </w:tcPr>
          <w:p>
            <w:pPr>
              <w:spacing w:after="40"/>
            </w:pPr>
            <w:r/>
            <w:r>
              <w:rPr>
                <w:rFonts w:ascii="Calibri" w:hAnsi="Calibri"/>
                <w:color w:val="565656"/>
                <w:sz w:val="17"/>
              </w:rPr>
              <w:t>rule 37(2)(iii)</w:t>
            </w:r>
          </w:p>
        </w:tc>
        <w:tc>
          <w:tcPr>
            <w:tcW w:type="dxa" w:w="1296"/>
          </w:tcPr>
          <w:p>
            <w:pPr>
              <w:spacing w:after="40"/>
            </w:pPr>
            <w:r/>
            <w:r>
              <w:rPr>
                <w:rFonts w:ascii="Calibri" w:hAnsi="Calibri"/>
                <w:color w:val="565656"/>
                <w:sz w:val="17"/>
              </w:rPr>
              <w:t>Yes / No</w:t>
            </w:r>
          </w:p>
        </w:tc>
      </w:tr>
      <w:tr>
        <w:tc>
          <w:tcPr>
            <w:tcW w:type="dxa" w:w="6048"/>
          </w:tcPr>
          <w:p>
            <w:pPr>
              <w:spacing w:after="40"/>
            </w:pPr>
            <w:r/>
            <w:r>
              <w:rPr>
                <w:rFonts w:ascii="Calibri" w:hAnsi="Calibri"/>
                <w:color w:val="565656"/>
                <w:sz w:val="17"/>
              </w:rPr>
              <w:t>Open during the employees' working hours, shifts included</w:t>
            </w:r>
          </w:p>
        </w:tc>
        <w:tc>
          <w:tcPr>
            <w:tcW w:type="dxa" w:w="2016"/>
          </w:tcPr>
          <w:p>
            <w:pPr>
              <w:spacing w:after="40"/>
            </w:pPr>
            <w:r/>
            <w:r>
              <w:rPr>
                <w:rFonts w:ascii="Calibri" w:hAnsi="Calibri"/>
                <w:color w:val="565656"/>
                <w:sz w:val="17"/>
              </w:rPr>
              <w:t>rule 37(2)(iv)</w:t>
            </w:r>
          </w:p>
        </w:tc>
        <w:tc>
          <w:tcPr>
            <w:tcW w:type="dxa" w:w="1296"/>
          </w:tcPr>
          <w:p>
            <w:pPr>
              <w:spacing w:after="40"/>
            </w:pPr>
            <w:r/>
            <w:r>
              <w:rPr>
                <w:rFonts w:ascii="Calibri" w:hAnsi="Calibri"/>
                <w:color w:val="565656"/>
                <w:sz w:val="17"/>
              </w:rPr>
              <w:t>Yes / No</w:t>
            </w:r>
          </w:p>
        </w:tc>
      </w:tr>
      <w:tr>
        <w:tc>
          <w:tcPr>
            <w:tcW w:type="dxa" w:w="6048"/>
          </w:tcPr>
          <w:p>
            <w:pPr>
              <w:spacing w:after="40"/>
            </w:pPr>
            <w:r/>
            <w:r>
              <w:rPr>
                <w:rFonts w:ascii="Calibri" w:hAnsi="Calibri"/>
                <w:color w:val="565656"/>
                <w:sz w:val="17"/>
              </w:rPr>
              <w:t>A woman with midwifery qualification or creche attendant training; one ayah for every ten children</w:t>
            </w:r>
          </w:p>
        </w:tc>
        <w:tc>
          <w:tcPr>
            <w:tcW w:type="dxa" w:w="2016"/>
          </w:tcPr>
          <w:p>
            <w:pPr>
              <w:spacing w:after="40"/>
            </w:pPr>
            <w:r/>
            <w:r>
              <w:rPr>
                <w:rFonts w:ascii="Calibri" w:hAnsi="Calibri"/>
                <w:color w:val="565656"/>
                <w:sz w:val="17"/>
              </w:rPr>
              <w:t>rule 37(2)(v)</w:t>
            </w:r>
          </w:p>
        </w:tc>
        <w:tc>
          <w:tcPr>
            <w:tcW w:type="dxa" w:w="1296"/>
          </w:tcPr>
          <w:p>
            <w:pPr>
              <w:spacing w:after="40"/>
            </w:pPr>
            <w:r/>
            <w:r>
              <w:rPr>
                <w:rFonts w:ascii="Calibri" w:hAnsi="Calibri"/>
                <w:color w:val="565656"/>
                <w:sz w:val="17"/>
              </w:rPr>
              <w:t>Yes / No</w:t>
            </w:r>
          </w:p>
        </w:tc>
      </w:tr>
      <w:tr>
        <w:tc>
          <w:tcPr>
            <w:tcW w:type="dxa" w:w="6048"/>
          </w:tcPr>
          <w:p>
            <w:pPr>
              <w:spacing w:after="40"/>
            </w:pPr>
            <w:r/>
            <w:r>
              <w:rPr>
                <w:rFonts w:ascii="Calibri" w:hAnsi="Calibri"/>
                <w:color w:val="565656"/>
                <w:sz w:val="17"/>
              </w:rPr>
              <w:t>Cots, bedding, toys; feeding arrangement for infants under fifteen months; toilets, first aid, a kitchen, milk and refreshments</w:t>
            </w:r>
          </w:p>
        </w:tc>
        <w:tc>
          <w:tcPr>
            <w:tcW w:type="dxa" w:w="2016"/>
          </w:tcPr>
          <w:p>
            <w:pPr>
              <w:spacing w:after="40"/>
            </w:pPr>
            <w:r/>
            <w:r>
              <w:rPr>
                <w:rFonts w:ascii="Calibri" w:hAnsi="Calibri"/>
                <w:color w:val="565656"/>
                <w:sz w:val="17"/>
              </w:rPr>
              <w:t>rule 37(2)(vi), (vii)</w:t>
            </w:r>
          </w:p>
        </w:tc>
        <w:tc>
          <w:tcPr>
            <w:tcW w:type="dxa" w:w="1296"/>
          </w:tcPr>
          <w:p>
            <w:pPr>
              <w:spacing w:after="40"/>
            </w:pPr>
            <w:r/>
            <w:r>
              <w:rPr>
                <w:rFonts w:ascii="Calibri" w:hAnsi="Calibri"/>
                <w:color w:val="565656"/>
                <w:sz w:val="17"/>
              </w:rPr>
              <w:t>Yes / No</w:t>
            </w:r>
          </w:p>
        </w:tc>
      </w:tr>
      <w:tr>
        <w:tc>
          <w:tcPr>
            <w:tcW w:type="dxa" w:w="6048"/>
          </w:tcPr>
          <w:p>
            <w:pPr>
              <w:spacing w:after="40"/>
            </w:pPr>
            <w:r/>
            <w:r>
              <w:rPr>
                <w:rFonts w:ascii="Calibri" w:hAnsi="Calibri"/>
                <w:color w:val="565656"/>
                <w:sz w:val="17"/>
              </w:rPr>
              <w:t>Four visits a day for the mother, rest intervals included</w:t>
            </w:r>
          </w:p>
        </w:tc>
        <w:tc>
          <w:tcPr>
            <w:tcW w:type="dxa" w:w="2016"/>
          </w:tcPr>
          <w:p>
            <w:pPr>
              <w:spacing w:after="40"/>
            </w:pPr>
            <w:r/>
            <w:r>
              <w:rPr>
                <w:rFonts w:ascii="Calibri" w:hAnsi="Calibri"/>
                <w:color w:val="565656"/>
                <w:sz w:val="17"/>
              </w:rPr>
              <w:t>s.67(1)</w:t>
            </w:r>
          </w:p>
        </w:tc>
        <w:tc>
          <w:tcPr>
            <w:tcW w:type="dxa" w:w="1296"/>
          </w:tcPr>
          <w:p>
            <w:pPr>
              <w:spacing w:after="40"/>
            </w:pPr>
            <w:r/>
            <w:r>
              <w:rPr>
                <w:rFonts w:ascii="Calibri" w:hAnsi="Calibri"/>
                <w:color w:val="565656"/>
                <w:sz w:val="17"/>
              </w:rPr>
              <w:t>Yes / No</w:t>
            </w:r>
          </w:p>
        </w:tc>
      </w:tr>
      <w:tr>
        <w:tc>
          <w:tcPr>
            <w:tcW w:type="dxa" w:w="6048"/>
          </w:tcPr>
          <w:p>
            <w:pPr>
              <w:spacing w:after="40"/>
            </w:pPr>
            <w:r/>
            <w:r>
              <w:rPr>
                <w:rFonts w:ascii="Calibri" w:hAnsi="Calibri"/>
                <w:color w:val="565656"/>
                <w:sz w:val="17"/>
              </w:rPr>
              <w:t>The parent's written consent for the child's details the creche keeps; our advice, as the Digital Personal Data Protection Act asks for a parent's verifiable consent before a child's data is processed</w:t>
            </w:r>
          </w:p>
        </w:tc>
        <w:tc>
          <w:tcPr>
            <w:tcW w:type="dxa" w:w="2016"/>
          </w:tcPr>
          <w:p>
            <w:pPr>
              <w:spacing w:after="40"/>
            </w:pPr>
            <w:r/>
            <w:r>
              <w:rPr>
                <w:rFonts w:ascii="Calibri" w:hAnsi="Calibri"/>
                <w:color w:val="565656"/>
                <w:sz w:val="17"/>
              </w:rPr>
              <w:t>DPDP Act s.9(1)</w:t>
            </w:r>
          </w:p>
        </w:tc>
        <w:tc>
          <w:tcPr>
            <w:tcW w:type="dxa" w:w="1296"/>
          </w:tcPr>
          <w:p>
            <w:pPr>
              <w:spacing w:after="40"/>
            </w:pPr>
            <w:r/>
            <w:r>
              <w:rPr>
                <w:rFonts w:ascii="Calibri" w:hAnsi="Calibri"/>
                <w:color w:val="565656"/>
                <w:sz w:val="17"/>
              </w:rPr>
              <w:t>Yes / No</w:t>
            </w:r>
          </w:p>
        </w:tc>
      </w:tr>
      <w:tr>
        <w:tc>
          <w:tcPr>
            <w:tcW w:type="dxa" w:w="6048"/>
          </w:tcPr>
          <w:p>
            <w:pPr>
              <w:spacing w:after="40"/>
            </w:pPr>
            <w:r/>
            <w:r>
              <w:rPr>
                <w:rFonts w:ascii="Calibri" w:hAnsi="Calibri"/>
                <w:color w:val="565656"/>
                <w:sz w:val="17"/>
              </w:rPr>
              <w:t>Listed industries also: free to all employees; police verification of staff; child handed only to the named person; attendance at drop and pick-up; evacuation plan displayed</w:t>
            </w:r>
          </w:p>
        </w:tc>
        <w:tc>
          <w:tcPr>
            <w:tcW w:type="dxa" w:w="2016"/>
          </w:tcPr>
          <w:p>
            <w:pPr>
              <w:spacing w:after="40"/>
            </w:pPr>
            <w:r/>
            <w:r>
              <w:rPr>
                <w:rFonts w:ascii="Calibri" w:hAnsi="Calibri"/>
                <w:color w:val="565656"/>
                <w:sz w:val="17"/>
              </w:rPr>
              <w:t>rule 58</w:t>
            </w:r>
          </w:p>
        </w:tc>
        <w:tc>
          <w:tcPr>
            <w:tcW w:type="dxa" w:w="1296"/>
          </w:tcPr>
          <w:p>
            <w:pPr>
              <w:spacing w:after="40"/>
            </w:pPr>
            <w:r/>
            <w:r>
              <w:rPr>
                <w:rFonts w:ascii="Calibri" w:hAnsi="Calibri"/>
                <w:color w:val="565656"/>
                <w:sz w:val="17"/>
              </w:rPr>
              <w:t>Yes / No</w:t>
            </w:r>
          </w:p>
        </w:tc>
      </w:tr>
    </w:tbl>
    <w:p>
      <w:r>
        <w:br w:type="page"/>
      </w:r>
    </w:p>
    <w:p>
      <w:pPr>
        <w:pStyle w:val="Heading1"/>
        <w:keepNext/>
        <w:spacing w:after="200" w:before="80"/>
        <w:ind w:left="115"/>
        <w:shd w:val="clear" w:fill="0069A4"/>
      </w:pPr>
      <w:r>
        <w:rPr>
          <w:rFonts w:ascii="Calibri" w:hAnsi="Calibri"/>
          <w:b/>
          <w:color w:val="FFFFFF"/>
          <w:sz w:val="20"/>
        </w:rPr>
        <w:t>FORMAT 03  ·  CRECHE ALLOWANCE AGREEMENT</w:t>
      </w:r>
    </w:p>
    <w:p>
      <w:pPr>
        <w:keepNext w:val="0"/>
        <w:spacing w:after="120" w:before="0"/>
        <w:ind w:left="144"/>
        <w:shd w:val="clear" w:fill="F4FAFE"/>
      </w:pPr>
      <w:r>
        <w:rPr>
          <w:rFonts w:ascii="Calibri" w:hAnsi="Calibri"/>
          <w:b w:val="0"/>
          <w:i/>
          <w:color w:val="565656"/>
          <w:sz w:val="18"/>
        </w:rPr>
        <w:t>Note for HR, delete before sending: For HR, only where you and your workers agree on an allowance instead of a creche, under rule 37.</w:t>
      </w:r>
    </w:p>
    <w:p>
      <w:pPr>
        <w:keepNext w:val="0"/>
        <w:spacing w:after="120" w:before="0"/>
        <w:ind w:left="144"/>
      </w:pPr>
      <w:r>
        <w:rPr>
          <w:rFonts w:ascii="Calibri" w:hAnsi="Calibri"/>
          <w:b w:val="0"/>
          <w:i/>
          <w:color w:val="565656"/>
          <w:sz w:val="16"/>
        </w:rPr>
        <w:t>The agreement starts below.</w:t>
      </w:r>
    </w:p>
    <w:p>
      <w:pPr>
        <w:keepNext w:val="0"/>
        <w:spacing w:after="120" w:before="0"/>
      </w:pPr>
      <w:r>
        <w:rPr>
          <w:rFonts w:ascii="Calibri" w:hAnsi="Calibri"/>
          <w:b/>
          <w:i w:val="0"/>
          <w:color w:val="1D1D1D"/>
          <w:sz w:val="20"/>
        </w:rPr>
        <w:t>AGREEMENT ON CRECHE ALLOWANCE</w:t>
      </w:r>
    </w:p>
    <w:p>
      <w:pPr>
        <w:keepNext w:val="0"/>
        <w:spacing w:after="120" w:before="0"/>
      </w:pPr>
      <w:r>
        <w:rPr>
          <w:rFonts w:ascii="Calibri" w:hAnsi="Calibri"/>
          <w:b w:val="0"/>
          <w:i w:val="0"/>
          <w:color w:val="1D1D1D"/>
          <w:sz w:val="20"/>
        </w:rPr>
        <w:t>Between [COMPANY NAME] and [the negotiating union / the negotiating council / a majority of the employees, as signed below], under rule 37(viii) of the Social Security (Central) Rules, 2026.</w:t>
      </w:r>
    </w:p>
    <w:p>
      <w:pPr>
        <w:keepNext w:val="0"/>
        <w:spacing w:after="120" w:before="0"/>
      </w:pPr>
      <w:r>
        <w:rPr>
          <w:rFonts w:ascii="Calibri" w:hAnsi="Calibri"/>
          <w:b w:val="0"/>
          <w:i w:val="0"/>
          <w:color w:val="1D1D1D"/>
          <w:sz w:val="20"/>
        </w:rPr>
        <w:t>1. Who is eligible: women, widowers and single parents employed here with children below the age of six years.</w:t>
      </w:r>
    </w:p>
    <w:p>
      <w:pPr>
        <w:keepNext w:val="0"/>
        <w:spacing w:after="120" w:before="0"/>
      </w:pPr>
      <w:r>
        <w:rPr>
          <w:rFonts w:ascii="Calibri" w:hAnsi="Calibri"/>
          <w:b w:val="0"/>
          <w:i w:val="0"/>
          <w:color w:val="1D1D1D"/>
          <w:sz w:val="20"/>
        </w:rPr>
        <w:t>2. Where a creche is not provided, each eligible employee is paid a creche allowance of ₹[AMOUNT, NOT LESS THAN 500] a month a child.</w:t>
      </w:r>
    </w:p>
    <w:p>
      <w:pPr>
        <w:keepNext w:val="0"/>
        <w:spacing w:after="120" w:before="0"/>
      </w:pPr>
      <w:r>
        <w:rPr>
          <w:rFonts w:ascii="Calibri" w:hAnsi="Calibri"/>
          <w:b w:val="0"/>
          <w:i w:val="0"/>
          <w:color w:val="1D1D1D"/>
          <w:sz w:val="20"/>
        </w:rPr>
        <w:t>3. For two children at most, except where a second birth results in multiple births.</w:t>
      </w:r>
    </w:p>
    <w:p>
      <w:pPr>
        <w:keepNext w:val="0"/>
        <w:spacing w:after="120" w:before="0"/>
      </w:pPr>
      <w:r>
        <w:rPr>
          <w:rFonts w:ascii="Calibri" w:hAnsi="Calibri"/>
          <w:b w:val="0"/>
          <w:i w:val="0"/>
          <w:color w:val="1D1D1D"/>
          <w:sz w:val="20"/>
        </w:rPr>
        <w:t>4. This agreement runs from [DD-MMM-YYYY] and is reviewed every [NUMBER] months.</w:t>
      </w:r>
    </w:p>
    <w:p>
      <w:pPr>
        <w:keepNext w:val="0"/>
        <w:spacing w:after="120" w:before="0"/>
      </w:pPr>
      <w:r>
        <w:rPr>
          <w:rFonts w:ascii="Calibri" w:hAnsi="Calibri"/>
          <w:b w:val="0"/>
          <w:i w:val="0"/>
          <w:color w:val="1D1D1D"/>
          <w:sz w:val="20"/>
        </w:rPr>
        <w:t>5. The Company keeps this agreement on file and will show it to an Inspector-cum-Facilitator on request.</w:t>
      </w:r>
    </w:p>
    <w:p>
      <w:pPr>
        <w:keepNext w:val="0"/>
        <w:spacing w:after="120" w:before="0"/>
      </w:pPr>
      <w:r>
        <w:rPr>
          <w:rFonts w:ascii="Calibri" w:hAnsi="Calibri"/>
          <w:b w:val="0"/>
          <w:i w:val="0"/>
          <w:color w:val="1D1D1D"/>
          <w:sz w:val="20"/>
        </w:rPr>
        <w:t>Signed for the Company: ____________   Signed for [the union / the employees]: ____________</w:t>
      </w:r>
    </w:p>
    <w:p>
      <w:r>
        <w:br w:type="page"/>
      </w:r>
    </w:p>
    <w:p>
      <w:pPr>
        <w:pStyle w:val="Heading1"/>
        <w:keepNext/>
        <w:spacing w:after="200" w:before="80"/>
        <w:ind w:left="115"/>
        <w:shd w:val="clear" w:fill="0069A4"/>
      </w:pPr>
      <w:r>
        <w:rPr>
          <w:rFonts w:ascii="Calibri" w:hAnsi="Calibri"/>
          <w:b/>
          <w:color w:val="FFFFFF"/>
          <w:sz w:val="20"/>
        </w:rPr>
        <w:t>FORMAT 04  ·  CANTEEN CHECKLIST</w:t>
      </w:r>
    </w:p>
    <w:p>
      <w:pPr>
        <w:keepNext w:val="0"/>
        <w:spacing w:after="120" w:before="0"/>
        <w:ind w:left="144"/>
        <w:shd w:val="clear" w:fill="F4FAFE"/>
      </w:pPr>
      <w:r>
        <w:rPr>
          <w:rFonts w:ascii="Calibri" w:hAnsi="Calibri"/>
          <w:b w:val="0"/>
          <w:i/>
          <w:color w:val="565656"/>
          <w:sz w:val="18"/>
        </w:rPr>
        <w:t>Note for HR, delete before sending: For the admin team, before opening and every quarter.</w:t>
      </w:r>
    </w:p>
    <w:p>
      <w:pPr>
        <w:keepNext w:val="0"/>
        <w:spacing w:after="120" w:before="0"/>
        <w:ind w:left="144"/>
      </w:pPr>
      <w:r>
        <w:rPr>
          <w:rFonts w:ascii="Calibri" w:hAnsi="Calibri"/>
          <w:b w:val="0"/>
          <w:i/>
          <w:color w:val="565656"/>
          <w:sz w:val="16"/>
        </w:rPr>
        <w:t>The checklist starts below.</w:t>
      </w:r>
    </w:p>
    <w:tbl>
      <w:tblPr>
        <w:tblStyle w:val="TableGrid"/>
        <w:tblW w:type="auto" w:w="0"/>
        <w:tblLook w:firstColumn="1" w:firstRow="1" w:lastColumn="0" w:lastRow="0" w:noHBand="0" w:noVBand="1" w:val="04A0"/>
      </w:tblPr>
      <w:tblGrid>
        <w:gridCol w:w="3216"/>
        <w:gridCol w:w="3216"/>
        <w:gridCol w:w="3216"/>
      </w:tblGrid>
      <w:tr>
        <w:tc>
          <w:tcPr>
            <w:tcW w:type="dxa" w:w="6048"/>
          </w:tcPr>
          <w:p>
            <w:pPr>
              <w:spacing w:after="40"/>
              <w:shd w:val="clear" w:fill="E8F4FC"/>
            </w:pPr>
            <w:r/>
            <w:r>
              <w:rPr>
                <w:rFonts w:ascii="Calibri" w:hAnsi="Calibri"/>
                <w:b/>
                <w:color w:val="0069A4"/>
                <w:sz w:val="17"/>
              </w:rPr>
              <w:t>Check</w:t>
            </w:r>
          </w:p>
        </w:tc>
        <w:tc>
          <w:tcPr>
            <w:tcW w:type="dxa" w:w="2016"/>
          </w:tcPr>
          <w:p>
            <w:pPr>
              <w:spacing w:after="40"/>
              <w:shd w:val="clear" w:fill="E8F4FC"/>
            </w:pPr>
            <w:r/>
            <w:r>
              <w:rPr>
                <w:rFonts w:ascii="Calibri" w:hAnsi="Calibri"/>
                <w:b/>
                <w:color w:val="0069A4"/>
                <w:sz w:val="17"/>
              </w:rPr>
              <w:t>Rule</w:t>
            </w:r>
          </w:p>
        </w:tc>
        <w:tc>
          <w:tcPr>
            <w:tcW w:type="dxa" w:w="1296"/>
          </w:tcPr>
          <w:p>
            <w:pPr>
              <w:spacing w:after="40"/>
              <w:shd w:val="clear" w:fill="E8F4FC"/>
            </w:pPr>
            <w:r/>
            <w:r>
              <w:rPr>
                <w:rFonts w:ascii="Calibri" w:hAnsi="Calibri"/>
                <w:b/>
                <w:color w:val="0069A4"/>
                <w:sz w:val="17"/>
              </w:rPr>
              <w:t>In place?</w:t>
            </w:r>
          </w:p>
        </w:tc>
      </w:tr>
      <w:tr>
        <w:tc>
          <w:tcPr>
            <w:tcW w:type="dxa" w:w="6048"/>
          </w:tcPr>
          <w:p>
            <w:pPr>
              <w:spacing w:after="40"/>
            </w:pPr>
            <w:r/>
            <w:r>
              <w:rPr>
                <w:rFonts w:ascii="Calibri" w:hAnsi="Calibri"/>
                <w:color w:val="565656"/>
                <w:sz w:val="17"/>
              </w:rPr>
              <w:t>In or adjacent to the premises; a common canteen is allowed</w:t>
            </w:r>
          </w:p>
        </w:tc>
        <w:tc>
          <w:tcPr>
            <w:tcW w:type="dxa" w:w="2016"/>
          </w:tcPr>
          <w:p>
            <w:pPr>
              <w:spacing w:after="40"/>
            </w:pPr>
            <w:r/>
            <w:r>
              <w:rPr>
                <w:rFonts w:ascii="Calibri" w:hAnsi="Calibri"/>
                <w:color w:val="565656"/>
                <w:sz w:val="17"/>
              </w:rPr>
              <w:t>rule 53(i), (ii)</w:t>
            </w:r>
          </w:p>
        </w:tc>
        <w:tc>
          <w:tcPr>
            <w:tcW w:type="dxa" w:w="1296"/>
          </w:tcPr>
          <w:p>
            <w:pPr>
              <w:spacing w:after="40"/>
            </w:pPr>
            <w:r/>
            <w:r>
              <w:rPr>
                <w:rFonts w:ascii="Calibri" w:hAnsi="Calibri"/>
                <w:color w:val="565656"/>
                <w:sz w:val="17"/>
              </w:rPr>
              <w:t>Yes / No</w:t>
            </w:r>
          </w:p>
        </w:tc>
      </w:tr>
      <w:tr>
        <w:tc>
          <w:tcPr>
            <w:tcW w:type="dxa" w:w="6048"/>
          </w:tcPr>
          <w:p>
            <w:pPr>
              <w:spacing w:after="40"/>
            </w:pPr>
            <w:r/>
            <w:r>
              <w:rPr>
                <w:rFonts w:ascii="Calibri" w:hAnsi="Calibri"/>
                <w:color w:val="565656"/>
                <w:sz w:val="17"/>
              </w:rPr>
              <w:t>Away from latrines, urinals and process areas</w:t>
            </w:r>
          </w:p>
        </w:tc>
        <w:tc>
          <w:tcPr>
            <w:tcW w:type="dxa" w:w="2016"/>
          </w:tcPr>
          <w:p>
            <w:pPr>
              <w:spacing w:after="40"/>
            </w:pPr>
            <w:r/>
            <w:r>
              <w:rPr>
                <w:rFonts w:ascii="Calibri" w:hAnsi="Calibri"/>
                <w:color w:val="565656"/>
                <w:sz w:val="17"/>
              </w:rPr>
              <w:t>rule 53(iii)</w:t>
            </w:r>
          </w:p>
        </w:tc>
        <w:tc>
          <w:tcPr>
            <w:tcW w:type="dxa" w:w="1296"/>
          </w:tcPr>
          <w:p>
            <w:pPr>
              <w:spacing w:after="40"/>
            </w:pPr>
            <w:r/>
            <w:r>
              <w:rPr>
                <w:rFonts w:ascii="Calibri" w:hAnsi="Calibri"/>
                <w:color w:val="565656"/>
                <w:sz w:val="17"/>
              </w:rPr>
              <w:t>Yes / No</w:t>
            </w:r>
          </w:p>
        </w:tc>
      </w:tr>
      <w:tr>
        <w:tc>
          <w:tcPr>
            <w:tcW w:type="dxa" w:w="6048"/>
          </w:tcPr>
          <w:p>
            <w:pPr>
              <w:spacing w:after="40"/>
            </w:pPr>
            <w:r/>
            <w:r>
              <w:rPr>
                <w:rFonts w:ascii="Calibri" w:hAnsi="Calibri"/>
                <w:color w:val="565656"/>
                <w:sz w:val="17"/>
              </w:rPr>
              <w:t>Dining hall, kitchen, store, pantry and washing places; separate entry and exit</w:t>
            </w:r>
          </w:p>
        </w:tc>
        <w:tc>
          <w:tcPr>
            <w:tcW w:type="dxa" w:w="2016"/>
          </w:tcPr>
          <w:p>
            <w:pPr>
              <w:spacing w:after="40"/>
            </w:pPr>
            <w:r/>
            <w:r>
              <w:rPr>
                <w:rFonts w:ascii="Calibri" w:hAnsi="Calibri"/>
                <w:color w:val="565656"/>
                <w:sz w:val="17"/>
              </w:rPr>
              <w:t>rule 53(iv), (v)</w:t>
            </w:r>
          </w:p>
        </w:tc>
        <w:tc>
          <w:tcPr>
            <w:tcW w:type="dxa" w:w="1296"/>
          </w:tcPr>
          <w:p>
            <w:pPr>
              <w:spacing w:after="40"/>
            </w:pPr>
            <w:r/>
            <w:r>
              <w:rPr>
                <w:rFonts w:ascii="Calibri" w:hAnsi="Calibri"/>
                <w:color w:val="565656"/>
                <w:sz w:val="17"/>
              </w:rPr>
              <w:t>Yes / No</w:t>
            </w:r>
          </w:p>
        </w:tc>
      </w:tr>
      <w:tr>
        <w:tc>
          <w:tcPr>
            <w:tcW w:type="dxa" w:w="6048"/>
          </w:tcPr>
          <w:p>
            <w:pPr>
              <w:spacing w:after="40"/>
            </w:pPr>
            <w:r/>
            <w:r>
              <w:rPr>
                <w:rFonts w:ascii="Calibri" w:hAnsi="Calibri"/>
                <w:color w:val="565656"/>
                <w:sz w:val="17"/>
              </w:rPr>
              <w:t>Enough seating; a portion reserved for women and employees with disabilities</w:t>
            </w:r>
          </w:p>
        </w:tc>
        <w:tc>
          <w:tcPr>
            <w:tcW w:type="dxa" w:w="2016"/>
          </w:tcPr>
          <w:p>
            <w:pPr>
              <w:spacing w:after="40"/>
            </w:pPr>
            <w:r/>
            <w:r>
              <w:rPr>
                <w:rFonts w:ascii="Calibri" w:hAnsi="Calibri"/>
                <w:color w:val="565656"/>
                <w:sz w:val="17"/>
              </w:rPr>
              <w:t>rule 53(vii), (viii)</w:t>
            </w:r>
          </w:p>
        </w:tc>
        <w:tc>
          <w:tcPr>
            <w:tcW w:type="dxa" w:w="1296"/>
          </w:tcPr>
          <w:p>
            <w:pPr>
              <w:spacing w:after="40"/>
            </w:pPr>
            <w:r/>
            <w:r>
              <w:rPr>
                <w:rFonts w:ascii="Calibri" w:hAnsi="Calibri"/>
                <w:color w:val="565656"/>
                <w:sz w:val="17"/>
              </w:rPr>
              <w:t>Yes / No</w:t>
            </w:r>
          </w:p>
        </w:tc>
      </w:tr>
      <w:tr>
        <w:tc>
          <w:tcPr>
            <w:tcW w:type="dxa" w:w="6048"/>
          </w:tcPr>
          <w:p>
            <w:pPr>
              <w:spacing w:after="40"/>
            </w:pPr>
            <w:r/>
            <w:r>
              <w:rPr>
                <w:rFonts w:ascii="Calibri" w:hAnsi="Calibri"/>
                <w:color w:val="565656"/>
                <w:sz w:val="17"/>
              </w:rPr>
              <w:t>Separate, screened washing places</w:t>
            </w:r>
          </w:p>
        </w:tc>
        <w:tc>
          <w:tcPr>
            <w:tcW w:type="dxa" w:w="2016"/>
          </w:tcPr>
          <w:p>
            <w:pPr>
              <w:spacing w:after="40"/>
            </w:pPr>
            <w:r/>
            <w:r>
              <w:rPr>
                <w:rFonts w:ascii="Calibri" w:hAnsi="Calibri"/>
                <w:color w:val="565656"/>
                <w:sz w:val="17"/>
              </w:rPr>
              <w:t>rule 53(ix)</w:t>
            </w:r>
          </w:p>
        </w:tc>
        <w:tc>
          <w:tcPr>
            <w:tcW w:type="dxa" w:w="1296"/>
          </w:tcPr>
          <w:p>
            <w:pPr>
              <w:spacing w:after="40"/>
            </w:pPr>
            <w:r/>
            <w:r>
              <w:rPr>
                <w:rFonts w:ascii="Calibri" w:hAnsi="Calibri"/>
                <w:color w:val="565656"/>
                <w:sz w:val="17"/>
              </w:rPr>
              <w:t>Yes / No</w:t>
            </w:r>
          </w:p>
        </w:tc>
      </w:tr>
      <w:tr>
        <w:tc>
          <w:tcPr>
            <w:tcW w:type="dxa" w:w="6048"/>
          </w:tcPr>
          <w:p>
            <w:pPr>
              <w:spacing w:after="40"/>
            </w:pPr>
            <w:r/>
            <w:r>
              <w:rPr>
                <w:rFonts w:ascii="Calibri" w:hAnsi="Calibri"/>
                <w:color w:val="565656"/>
                <w:sz w:val="17"/>
              </w:rPr>
              <w:t>Food handlers trained; nobody with a communicable disease handles food</w:t>
            </w:r>
          </w:p>
        </w:tc>
        <w:tc>
          <w:tcPr>
            <w:tcW w:type="dxa" w:w="2016"/>
          </w:tcPr>
          <w:p>
            <w:pPr>
              <w:spacing w:after="40"/>
            </w:pPr>
            <w:r/>
            <w:r>
              <w:rPr>
                <w:rFonts w:ascii="Calibri" w:hAnsi="Calibri"/>
                <w:color w:val="565656"/>
                <w:sz w:val="17"/>
              </w:rPr>
              <w:t>rule 53(xi)</w:t>
            </w:r>
          </w:p>
        </w:tc>
        <w:tc>
          <w:tcPr>
            <w:tcW w:type="dxa" w:w="1296"/>
          </w:tcPr>
          <w:p>
            <w:pPr>
              <w:spacing w:after="40"/>
            </w:pPr>
            <w:r/>
            <w:r>
              <w:rPr>
                <w:rFonts w:ascii="Calibri" w:hAnsi="Calibri"/>
                <w:color w:val="565656"/>
                <w:sz w:val="17"/>
              </w:rPr>
              <w:t>Yes / No</w:t>
            </w:r>
          </w:p>
        </w:tc>
      </w:tr>
      <w:tr>
        <w:tc>
          <w:tcPr>
            <w:tcW w:type="dxa" w:w="6048"/>
          </w:tcPr>
          <w:p>
            <w:pPr>
              <w:spacing w:after="40"/>
            </w:pPr>
            <w:r/>
            <w:r>
              <w:rPr>
                <w:rFonts w:ascii="Calibri" w:hAnsi="Calibri"/>
                <w:color w:val="565656"/>
                <w:sz w:val="17"/>
              </w:rPr>
              <w:t>Waste covered and removed</w:t>
            </w:r>
          </w:p>
        </w:tc>
        <w:tc>
          <w:tcPr>
            <w:tcW w:type="dxa" w:w="2016"/>
          </w:tcPr>
          <w:p>
            <w:pPr>
              <w:spacing w:after="40"/>
            </w:pPr>
            <w:r/>
            <w:r>
              <w:rPr>
                <w:rFonts w:ascii="Calibri" w:hAnsi="Calibri"/>
                <w:color w:val="565656"/>
                <w:sz w:val="17"/>
              </w:rPr>
              <w:t>rule 53(xii)</w:t>
            </w:r>
          </w:p>
        </w:tc>
        <w:tc>
          <w:tcPr>
            <w:tcW w:type="dxa" w:w="1296"/>
          </w:tcPr>
          <w:p>
            <w:pPr>
              <w:spacing w:after="40"/>
            </w:pPr>
            <w:r/>
            <w:r>
              <w:rPr>
                <w:rFonts w:ascii="Calibri" w:hAnsi="Calibri"/>
                <w:color w:val="565656"/>
                <w:sz w:val="17"/>
              </w:rPr>
              <w:t>Yes / No</w:t>
            </w:r>
          </w:p>
        </w:tc>
      </w:tr>
      <w:tr>
        <w:tc>
          <w:tcPr>
            <w:tcW w:type="dxa" w:w="6048"/>
          </w:tcPr>
          <w:p>
            <w:pPr>
              <w:spacing w:after="40"/>
            </w:pPr>
            <w:r/>
            <w:r>
              <w:rPr>
                <w:rFonts w:ascii="Calibri" w:hAnsi="Calibri"/>
                <w:color w:val="565656"/>
                <w:sz w:val="17"/>
              </w:rPr>
              <w:t>Prices no profit, no loss, fixed by the committee and displayed</w:t>
            </w:r>
          </w:p>
        </w:tc>
        <w:tc>
          <w:tcPr>
            <w:tcW w:type="dxa" w:w="2016"/>
          </w:tcPr>
          <w:p>
            <w:pPr>
              <w:spacing w:after="40"/>
            </w:pPr>
            <w:r/>
            <w:r>
              <w:rPr>
                <w:rFonts w:ascii="Calibri" w:hAnsi="Calibri"/>
                <w:color w:val="565656"/>
                <w:sz w:val="17"/>
              </w:rPr>
              <w:t>rule 53(xiii), (xiv)</w:t>
            </w:r>
          </w:p>
        </w:tc>
        <w:tc>
          <w:tcPr>
            <w:tcW w:type="dxa" w:w="1296"/>
          </w:tcPr>
          <w:p>
            <w:pPr>
              <w:spacing w:after="40"/>
            </w:pPr>
            <w:r/>
            <w:r>
              <w:rPr>
                <w:rFonts w:ascii="Calibri" w:hAnsi="Calibri"/>
                <w:color w:val="565656"/>
                <w:sz w:val="17"/>
              </w:rPr>
              <w:t>Yes / No</w:t>
            </w:r>
          </w:p>
        </w:tc>
      </w:tr>
    </w:tbl>
    <w:p>
      <w:r>
        <w:br w:type="page"/>
      </w:r>
    </w:p>
    <w:p>
      <w:pPr>
        <w:pStyle w:val="Heading1"/>
        <w:keepNext/>
        <w:spacing w:after="200" w:before="80"/>
        <w:ind w:left="115"/>
        <w:shd w:val="clear" w:fill="0069A4"/>
      </w:pPr>
      <w:r>
        <w:rPr>
          <w:rFonts w:ascii="Calibri" w:hAnsi="Calibri"/>
          <w:b/>
          <w:color w:val="FFFFFF"/>
          <w:sz w:val="20"/>
        </w:rPr>
        <w:t>FORMAT 05  ·  CANTEEN MANAGING COMMITTEE ORDER</w:t>
      </w:r>
    </w:p>
    <w:p>
      <w:pPr>
        <w:keepNext w:val="0"/>
        <w:spacing w:after="120" w:before="0"/>
        <w:ind w:left="144"/>
        <w:shd w:val="clear" w:fill="F4FAFE"/>
      </w:pPr>
      <w:r>
        <w:rPr>
          <w:rFonts w:ascii="Calibri" w:hAnsi="Calibri"/>
          <w:b w:val="0"/>
          <w:i/>
          <w:color w:val="565656"/>
          <w:sz w:val="18"/>
        </w:rPr>
        <w:t>Note for HR, delete before sending: For HR. Equal seats, one third rotated every two years.</w:t>
      </w:r>
    </w:p>
    <w:p>
      <w:pPr>
        <w:keepNext w:val="0"/>
        <w:spacing w:after="120" w:before="0"/>
        <w:ind w:left="144"/>
      </w:pPr>
      <w:r>
        <w:rPr>
          <w:rFonts w:ascii="Calibri" w:hAnsi="Calibri"/>
          <w:b w:val="0"/>
          <w:i/>
          <w:color w:val="565656"/>
          <w:sz w:val="16"/>
        </w:rPr>
        <w:t>The letter starts below.</w:t>
      </w:r>
    </w:p>
    <w:p>
      <w:pPr>
        <w:keepNext w:val="0"/>
        <w:spacing w:after="200" w:before="0"/>
      </w:pPr>
      <w:r>
        <w:rPr>
          <w:rFonts w:ascii="Calibri" w:hAnsi="Calibri"/>
          <w:b w:val="0"/>
          <w:i w:val="0"/>
          <w:color w:val="565656"/>
          <w:sz w:val="18"/>
        </w:rPr>
        <w:t>[COMPANY LETTERHEAD]</w:t>
      </w:r>
    </w:p>
    <w:p>
      <w:pPr>
        <w:keepNext w:val="0"/>
        <w:spacing w:after="160" w:before="0"/>
      </w:pPr>
      <w:r>
        <w:rPr>
          <w:rFonts w:ascii="Calibri" w:hAnsi="Calibri"/>
          <w:b w:val="0"/>
          <w:i w:val="0"/>
          <w:color w:val="1D1D1D"/>
          <w:sz w:val="19"/>
        </w:rPr>
        <w:t>Ref: [REFERENCE NO.]                    Date: [DD-MMM-YYYY]</w:t>
      </w:r>
    </w:p>
    <w:p>
      <w:pPr>
        <w:keepNext w:val="0"/>
        <w:spacing w:after="100" w:before="0"/>
      </w:pPr>
      <w:r>
        <w:rPr>
          <w:rFonts w:ascii="Calibri" w:hAnsi="Calibri"/>
          <w:b w:val="0"/>
          <w:i w:val="0"/>
          <w:color w:val="1D1D1D"/>
          <w:sz w:val="20"/>
        </w:rPr>
        <w:t>Subject: Constitution of the Canteen Managing Committee</w:t>
      </w:r>
    </w:p>
    <w:p>
      <w:pPr>
        <w:keepNext w:val="0"/>
        <w:spacing w:after="100" w:before="0"/>
      </w:pPr>
      <w:r>
        <w:rPr>
          <w:rFonts w:ascii="Calibri" w:hAnsi="Calibri"/>
          <w:b w:val="0"/>
          <w:i w:val="0"/>
          <w:color w:val="1D1D1D"/>
          <w:sz w:val="20"/>
        </w:rPr>
        <w:t>Under rule 53(xv) of the OSH (Central) Rules, 2026, the Canteen Managing Committee of [ESTABLISHMENT] is constituted from [DD-MMM-YYYY], as below. It decides the quality and quantity of food, the menu, meal timings and other canteen matters, with the canteen manager.</w:t>
      </w:r>
    </w:p>
    <w:tbl>
      <w:tblPr>
        <w:tblStyle w:val="TableGrid"/>
        <w:tblW w:type="auto" w:w="0"/>
        <w:tblLook w:firstColumn="1" w:firstRow="1" w:lastColumn="0" w:lastRow="0" w:noHBand="0" w:noVBand="1" w:val="04A0"/>
      </w:tblPr>
      <w:tblGrid>
        <w:gridCol w:w="4824"/>
        <w:gridCol w:w="4824"/>
      </w:tblGrid>
      <w:tr>
        <w:tc>
          <w:tcPr>
            <w:tcW w:type="dxa" w:w="3744"/>
          </w:tcPr>
          <w:p>
            <w:pPr>
              <w:spacing w:after="40"/>
              <w:shd w:val="clear" w:fill="E8F4FC"/>
            </w:pPr>
            <w:r/>
            <w:r>
              <w:rPr>
                <w:rFonts w:ascii="Calibri" w:hAnsi="Calibri"/>
                <w:b/>
                <w:color w:val="0069A4"/>
                <w:sz w:val="19"/>
              </w:rPr>
              <w:t>Side</w:t>
            </w:r>
          </w:p>
        </w:tc>
        <w:tc>
          <w:tcPr>
            <w:tcW w:type="dxa" w:w="5616"/>
          </w:tcPr>
          <w:p>
            <w:pPr>
              <w:spacing w:after="40"/>
              <w:shd w:val="clear" w:fill="E8F4FC"/>
            </w:pPr>
            <w:r/>
            <w:r>
              <w:rPr>
                <w:rFonts w:ascii="Calibri" w:hAnsi="Calibri"/>
                <w:b/>
                <w:color w:val="0069A4"/>
                <w:sz w:val="19"/>
              </w:rPr>
              <w:t>Members</w:t>
            </w:r>
          </w:p>
        </w:tc>
      </w:tr>
      <w:tr>
        <w:tc>
          <w:tcPr>
            <w:tcW w:type="dxa" w:w="3744"/>
          </w:tcPr>
          <w:p>
            <w:pPr>
              <w:spacing w:after="40"/>
            </w:pPr>
            <w:r/>
            <w:r>
              <w:rPr>
                <w:rFonts w:ascii="Calibri" w:hAnsi="Calibri"/>
                <w:color w:val="565656"/>
                <w:sz w:val="19"/>
              </w:rPr>
              <w:t>Employer members, nominated by the employer</w:t>
            </w:r>
          </w:p>
        </w:tc>
        <w:tc>
          <w:tcPr>
            <w:tcW w:type="dxa" w:w="5616"/>
          </w:tcPr>
          <w:p>
            <w:pPr>
              <w:spacing w:after="40"/>
            </w:pPr>
            <w:r/>
            <w:r>
              <w:rPr>
                <w:rFonts w:ascii="Calibri" w:hAnsi="Calibri"/>
                <w:color w:val="565656"/>
                <w:sz w:val="19"/>
              </w:rPr>
              <w:t>[NAMES]</w:t>
            </w:r>
          </w:p>
        </w:tc>
      </w:tr>
      <w:tr>
        <w:tc>
          <w:tcPr>
            <w:tcW w:type="dxa" w:w="3744"/>
          </w:tcPr>
          <w:p>
            <w:pPr>
              <w:spacing w:after="40"/>
            </w:pPr>
            <w:r/>
            <w:r>
              <w:rPr>
                <w:rFonts w:ascii="Calibri" w:hAnsi="Calibri"/>
                <w:color w:val="565656"/>
                <w:sz w:val="19"/>
              </w:rPr>
              <w:t>Worker members, equal in number</w:t>
            </w:r>
          </w:p>
        </w:tc>
        <w:tc>
          <w:tcPr>
            <w:tcW w:type="dxa" w:w="5616"/>
          </w:tcPr>
          <w:p>
            <w:pPr>
              <w:spacing w:after="40"/>
            </w:pPr>
            <w:r/>
            <w:r>
              <w:rPr>
                <w:rFonts w:ascii="Calibri" w:hAnsi="Calibri"/>
                <w:color w:val="565656"/>
                <w:sz w:val="19"/>
              </w:rPr>
              <w:t>[NAMES]</w:t>
            </w:r>
          </w:p>
        </w:tc>
      </w:tr>
      <w:tr>
        <w:tc>
          <w:tcPr>
            <w:tcW w:type="dxa" w:w="3744"/>
          </w:tcPr>
          <w:p>
            <w:pPr>
              <w:spacing w:after="40"/>
            </w:pPr>
            <w:r/>
            <w:r>
              <w:rPr>
                <w:rFonts w:ascii="Calibri" w:hAnsi="Calibri"/>
                <w:color w:val="565656"/>
                <w:sz w:val="19"/>
              </w:rPr>
              <w:t>Chosen by</w:t>
            </w:r>
          </w:p>
        </w:tc>
        <w:tc>
          <w:tcPr>
            <w:tcW w:type="dxa" w:w="5616"/>
          </w:tcPr>
          <w:p>
            <w:pPr>
              <w:spacing w:after="40"/>
            </w:pPr>
            <w:r/>
            <w:r>
              <w:rPr>
                <w:rFonts w:ascii="Calibri" w:hAnsi="Calibri"/>
                <w:color w:val="565656"/>
                <w:sz w:val="19"/>
              </w:rPr>
              <w:t>[NEGOTIATING UNION / NEGOTIATING COUNCIL / THE WORKERS, AMONG THEMSELVES]</w:t>
            </w:r>
          </w:p>
        </w:tc>
      </w:tr>
    </w:tbl>
    <w:p>
      <w:pPr>
        <w:keepNext w:val="0"/>
        <w:spacing w:after="80" w:before="0"/>
      </w:pPr>
      <w:r>
        <w:rPr>
          <w:rFonts w:ascii="Calibri" w:hAnsi="Calibri"/>
          <w:b w:val="0"/>
          <w:i w:val="0"/>
          <w:color w:val="1D1D1D"/>
          <w:sz w:val="21"/>
        </w:rPr>
      </w:r>
    </w:p>
    <w:p>
      <w:pPr>
        <w:keepNext w:val="0"/>
        <w:spacing w:after="100" w:before="0"/>
      </w:pPr>
      <w:r>
        <w:rPr>
          <w:rFonts w:ascii="Calibri" w:hAnsi="Calibri"/>
          <w:b w:val="0"/>
          <w:i w:val="0"/>
          <w:color w:val="1D1D1D"/>
          <w:sz w:val="20"/>
        </w:rPr>
        <w:t>One third of the members on each side are rotated every two years. The term is [AGREED TERM]. [Not needed where the canteen is run by a co-operative society registered under the Multi-State Co-operative Societies Act, 2002.]</w:t>
      </w:r>
    </w:p>
    <w:p>
      <w:pPr>
        <w:keepNext w:val="0"/>
        <w:spacing w:after="80" w:before="0"/>
      </w:pPr>
      <w:r>
        <w:rPr>
          <w:rFonts w:ascii="Calibri" w:hAnsi="Calibri"/>
          <w:b w:val="0"/>
          <w:i w:val="0"/>
          <w:color w:val="1D1D1D"/>
          <w:sz w:val="21"/>
        </w:rPr>
      </w:r>
    </w:p>
    <w:p>
      <w:pPr>
        <w:keepNext w:val="0"/>
        <w:spacing w:after="240" w:before="0"/>
      </w:pPr>
      <w:r>
        <w:rPr>
          <w:rFonts w:ascii="Calibri" w:hAnsi="Calibri"/>
          <w:b w:val="0"/>
          <w:i w:val="0"/>
          <w:color w:val="1D1D1D"/>
          <w:sz w:val="20"/>
        </w:rPr>
        <w:t>For [COMPANY NAME]</w:t>
      </w:r>
    </w:p>
    <w:p>
      <w:pPr>
        <w:keepNext w:val="0"/>
        <w:spacing w:after="200" w:before="0"/>
      </w:pPr>
      <w:r>
        <w:rPr>
          <w:rFonts w:ascii="Calibri" w:hAnsi="Calibri"/>
          <w:b/>
          <w:i w:val="0"/>
          <w:color w:val="1D1D1D"/>
          <w:sz w:val="20"/>
        </w:rPr>
        <w:t>[NAME], [DESIGNATION]</w:t>
      </w:r>
    </w:p>
    <w:p>
      <w:r>
        <w:br w:type="page"/>
      </w:r>
    </w:p>
    <w:p>
      <w:pPr>
        <w:pStyle w:val="Heading1"/>
        <w:keepNext/>
        <w:spacing w:after="200" w:before="80"/>
        <w:ind w:left="115"/>
        <w:shd w:val="clear" w:fill="0069A4"/>
      </w:pPr>
      <w:r>
        <w:rPr>
          <w:rFonts w:ascii="Calibri" w:hAnsi="Calibri"/>
          <w:b/>
          <w:color w:val="FFFFFF"/>
          <w:sz w:val="20"/>
        </w:rPr>
        <w:t>FORMAT 06  ·  CANTEEN PRICE NOTICE</w:t>
      </w:r>
    </w:p>
    <w:p>
      <w:pPr>
        <w:keepNext w:val="0"/>
        <w:spacing w:after="120" w:before="0"/>
        <w:ind w:left="144"/>
        <w:shd w:val="clear" w:fill="F4FAFE"/>
      </w:pPr>
      <w:r>
        <w:rPr>
          <w:rFonts w:ascii="Calibri" w:hAnsi="Calibri"/>
          <w:b w:val="0"/>
          <w:i/>
          <w:color w:val="565656"/>
          <w:sz w:val="18"/>
        </w:rPr>
        <w:t>Note for HR, delete before sending: For the canteen wall. Prices fixed by the committee, no profit and no loss.</w:t>
      </w:r>
    </w:p>
    <w:p>
      <w:pPr>
        <w:keepNext w:val="0"/>
        <w:spacing w:after="120" w:before="0"/>
        <w:ind w:left="144"/>
      </w:pPr>
      <w:r>
        <w:rPr>
          <w:rFonts w:ascii="Calibri" w:hAnsi="Calibri"/>
          <w:b w:val="0"/>
          <w:i/>
          <w:color w:val="565656"/>
          <w:sz w:val="16"/>
        </w:rPr>
        <w:t>The notice starts below.</w:t>
      </w:r>
    </w:p>
    <w:p>
      <w:pPr>
        <w:keepNext w:val="0"/>
        <w:spacing w:after="160" w:before="0"/>
      </w:pPr>
      <w:r>
        <w:rPr>
          <w:rFonts w:ascii="Calibri" w:hAnsi="Calibri"/>
          <w:b/>
          <w:i w:val="0"/>
          <w:color w:val="1D1D1D"/>
          <w:sz w:val="24"/>
        </w:rPr>
        <w:t>CANTEEN PRICES</w:t>
      </w:r>
    </w:p>
    <w:p>
      <w:pPr>
        <w:keepNext w:val="0"/>
        <w:spacing w:after="160" w:before="0"/>
      </w:pPr>
      <w:r>
        <w:rPr>
          <w:rFonts w:ascii="Calibri" w:hAnsi="Calibri"/>
          <w:b w:val="0"/>
          <w:i w:val="0"/>
          <w:color w:val="1D1D1D"/>
          <w:sz w:val="24"/>
        </w:rPr>
        <w:t>Prices are fixed by the Canteen Managing Committee on a no profit, no loss basis.</w:t>
      </w:r>
    </w:p>
    <w:p>
      <w:pPr>
        <w:keepNext w:val="0"/>
        <w:spacing w:after="160" w:before="0"/>
      </w:pPr>
      <w:r>
        <w:rPr>
          <w:rFonts w:ascii="Calibri" w:hAnsi="Calibri"/>
          <w:b w:val="0"/>
          <w:i w:val="0"/>
          <w:color w:val="1D1D1D"/>
          <w:sz w:val="24"/>
        </w:rPr>
        <w:t>[ITEM]   ₹[PRICE] a portion</w:t>
      </w:r>
    </w:p>
    <w:p>
      <w:pPr>
        <w:keepNext w:val="0"/>
        <w:spacing w:after="160" w:before="0"/>
      </w:pPr>
      <w:r>
        <w:rPr>
          <w:rFonts w:ascii="Calibri" w:hAnsi="Calibri"/>
          <w:b w:val="0"/>
          <w:i w:val="0"/>
          <w:color w:val="1D1D1D"/>
          <w:sz w:val="24"/>
        </w:rPr>
        <w:t>[ITEM]   ₹[PRICE] a portion</w:t>
      </w:r>
    </w:p>
    <w:p>
      <w:pPr>
        <w:keepNext w:val="0"/>
        <w:spacing w:after="160" w:before="0"/>
      </w:pPr>
      <w:r>
        <w:rPr>
          <w:rFonts w:ascii="Calibri" w:hAnsi="Calibri"/>
          <w:b w:val="0"/>
          <w:i w:val="0"/>
          <w:color w:val="1D1D1D"/>
          <w:sz w:val="24"/>
        </w:rPr>
        <w:t>[ITEM]   ₹[PRICE] a portion</w:t>
      </w:r>
    </w:p>
    <w:p>
      <w:pPr>
        <w:keepNext w:val="0"/>
        <w:spacing w:after="160" w:before="0"/>
      </w:pPr>
      <w:r>
        <w:rPr>
          <w:rFonts w:ascii="Calibri" w:hAnsi="Calibri"/>
          <w:b w:val="0"/>
          <w:i w:val="0"/>
          <w:color w:val="1D1D1D"/>
          <w:sz w:val="24"/>
        </w:rPr>
        <w:t>Fixed on: [DD-MMM-YYYY]. Suggestions to: [COMMITTEE MEMBER, NUMBER]</w:t>
      </w:r>
    </w:p>
    <w:p>
      <w:r>
        <w:br w:type="page"/>
      </w:r>
    </w:p>
    <w:p>
      <w:pPr>
        <w:pStyle w:val="Heading1"/>
        <w:keepNext/>
        <w:spacing w:after="200" w:before="80"/>
        <w:ind w:left="115"/>
        <w:shd w:val="clear" w:fill="008CDB"/>
      </w:pPr>
      <w:r>
        <w:rPr>
          <w:rFonts w:ascii="Calibri" w:hAnsi="Calibri"/>
          <w:b/>
          <w:color w:val="FFFFFF"/>
          <w:sz w:val="22"/>
        </w:rPr>
        <w:t>6.  EIGHT MISTAKES</w:t>
      </w:r>
    </w:p>
    <w:p>
      <w:pPr>
        <w:pStyle w:val="Heading2"/>
        <w:keepNext/>
        <w:spacing w:after="60" w:before="160"/>
      </w:pPr>
      <w:r>
        <w:rPr>
          <w:rFonts w:ascii="Calibri" w:hAnsi="Calibri"/>
          <w:b/>
          <w:color w:val="1D1D1D"/>
          <w:sz w:val="21"/>
        </w:rPr>
        <w:t>1.  Counting only workers for the creche</w:t>
      </w:r>
    </w:p>
    <w:p>
      <w:pPr>
        <w:keepNext w:val="0"/>
        <w:spacing w:after="120" w:before="0"/>
      </w:pPr>
      <w:r>
        <w:rPr>
          <w:rFonts w:ascii="Calibri" w:hAnsi="Calibri"/>
          <w:b w:val="0"/>
          <w:i w:val="0"/>
          <w:color w:val="1D1D1D"/>
          <w:sz w:val="20"/>
        </w:rPr>
        <w:t>The Social Security Code counts employees: managers, supervisors and contract staff included, apprentices out. Fifty comes sooner than you think.</w:t>
      </w:r>
    </w:p>
    <w:p>
      <w:pPr>
        <w:pStyle w:val="Heading2"/>
        <w:keepNext/>
        <w:spacing w:after="60" w:before="160"/>
      </w:pPr>
      <w:r>
        <w:rPr>
          <w:rFonts w:ascii="Calibri" w:hAnsi="Calibri"/>
          <w:b/>
          <w:color w:val="1D1D1D"/>
          <w:sz w:val="21"/>
        </w:rPr>
        <w:t>2.  Thinking a creche is only for factories</w:t>
      </w:r>
    </w:p>
    <w:p>
      <w:pPr>
        <w:keepNext w:val="0"/>
        <w:spacing w:after="120" w:before="0"/>
      </w:pPr>
      <w:r>
        <w:rPr>
          <w:rFonts w:ascii="Calibri" w:hAnsi="Calibri"/>
          <w:b w:val="0"/>
          <w:i w:val="0"/>
          <w:color w:val="1D1D1D"/>
          <w:sz w:val="20"/>
        </w:rPr>
        <w:t>The Social Security Code reaches a shop or establishment with ten or more employees. An office or hospital with fifty employees needs one.</w:t>
      </w:r>
    </w:p>
    <w:p>
      <w:pPr>
        <w:pStyle w:val="Heading2"/>
        <w:keepNext/>
        <w:spacing w:after="60" w:before="160"/>
      </w:pPr>
      <w:r>
        <w:rPr>
          <w:rFonts w:ascii="Calibri" w:hAnsi="Calibri"/>
          <w:b/>
          <w:color w:val="1D1D1D"/>
          <w:sz w:val="21"/>
        </w:rPr>
        <w:t>3.  Leaving contract labour out of the canteen count</w:t>
      </w:r>
    </w:p>
    <w:p>
      <w:pPr>
        <w:keepNext w:val="0"/>
        <w:spacing w:after="120" w:before="0"/>
      </w:pPr>
      <w:r>
        <w:rPr>
          <w:rFonts w:ascii="Calibri" w:hAnsi="Calibri"/>
          <w:b w:val="0"/>
          <w:i w:val="0"/>
          <w:color w:val="1D1D1D"/>
          <w:sz w:val="20"/>
        </w:rPr>
        <w:t>The 100 for a canteen includes contract labourers, in the Code and in rule 53.</w:t>
      </w:r>
    </w:p>
    <w:p>
      <w:pPr>
        <w:pStyle w:val="Heading2"/>
        <w:keepNext/>
        <w:spacing w:after="60" w:before="160"/>
      </w:pPr>
      <w:r>
        <w:rPr>
          <w:rFonts w:ascii="Calibri" w:hAnsi="Calibri"/>
          <w:b/>
          <w:color w:val="1D1D1D"/>
          <w:sz w:val="21"/>
        </w:rPr>
        <w:t>4.  Paying a creche allowance without an agreement</w:t>
      </w:r>
    </w:p>
    <w:p>
      <w:pPr>
        <w:keepNext w:val="0"/>
        <w:spacing w:after="120" w:before="0"/>
      </w:pPr>
      <w:r>
        <w:rPr>
          <w:rFonts w:ascii="Calibri" w:hAnsi="Calibri"/>
          <w:b w:val="0"/>
          <w:i w:val="0"/>
          <w:color w:val="1D1D1D"/>
          <w:sz w:val="20"/>
        </w:rPr>
        <w:t>Rule 37 allows an allowance only by agreement with the negotiating union or council, or a majority of employees.</w:t>
      </w:r>
    </w:p>
    <w:p>
      <w:pPr>
        <w:pStyle w:val="Heading2"/>
        <w:keepNext/>
        <w:spacing w:after="60" w:before="160"/>
      </w:pPr>
      <w:r>
        <w:rPr>
          <w:rFonts w:ascii="Calibri" w:hAnsi="Calibri"/>
          <w:b/>
          <w:color w:val="1D1D1D"/>
          <w:sz w:val="21"/>
        </w:rPr>
        <w:t>5.  An allowance below ₹500</w:t>
      </w:r>
    </w:p>
    <w:p>
      <w:pPr>
        <w:keepNext w:val="0"/>
        <w:spacing w:after="120" w:before="0"/>
      </w:pPr>
      <w:r>
        <w:rPr>
          <w:rFonts w:ascii="Calibri" w:hAnsi="Calibri"/>
          <w:b w:val="0"/>
          <w:i w:val="0"/>
          <w:color w:val="1D1D1D"/>
          <w:sz w:val="20"/>
        </w:rPr>
        <w:t>Not less than ₹500 a month a child, for two children.</w:t>
      </w:r>
    </w:p>
    <w:p>
      <w:pPr>
        <w:pStyle w:val="Heading2"/>
        <w:keepNext/>
        <w:spacing w:after="60" w:before="160"/>
      </w:pPr>
      <w:r>
        <w:rPr>
          <w:rFonts w:ascii="Calibri" w:hAnsi="Calibri"/>
          <w:b/>
          <w:color w:val="1D1D1D"/>
          <w:sz w:val="21"/>
        </w:rPr>
        <w:t>6.  A creche too far away</w:t>
      </w:r>
    </w:p>
    <w:p>
      <w:pPr>
        <w:keepNext w:val="0"/>
        <w:spacing w:after="120" w:before="0"/>
      </w:pPr>
      <w:r>
        <w:rPr>
          <w:rFonts w:ascii="Calibri" w:hAnsi="Calibri"/>
          <w:b w:val="0"/>
          <w:i w:val="0"/>
          <w:color w:val="1D1D1D"/>
          <w:sz w:val="20"/>
        </w:rPr>
        <w:t>Within one kilometre, unless the authority relaxes it for an industrial park.</w:t>
      </w:r>
    </w:p>
    <w:p>
      <w:pPr>
        <w:pStyle w:val="Heading2"/>
        <w:keepNext/>
        <w:spacing w:after="60" w:before="160"/>
      </w:pPr>
      <w:r>
        <w:rPr>
          <w:rFonts w:ascii="Calibri" w:hAnsi="Calibri"/>
          <w:b/>
          <w:color w:val="1D1D1D"/>
          <w:sz w:val="21"/>
        </w:rPr>
        <w:t>7.  Running the canteen at a profit</w:t>
      </w:r>
    </w:p>
    <w:p>
      <w:pPr>
        <w:keepNext w:val="0"/>
        <w:spacing w:after="120" w:before="0"/>
      </w:pPr>
      <w:r>
        <w:rPr>
          <w:rFonts w:ascii="Calibri" w:hAnsi="Calibri"/>
          <w:b w:val="0"/>
          <w:i w:val="0"/>
          <w:color w:val="1D1D1D"/>
          <w:sz w:val="20"/>
        </w:rPr>
        <w:t>Rates are no profit, no loss, fixed by the Canteen Managing Committee and displayed.</w:t>
      </w:r>
    </w:p>
    <w:p>
      <w:pPr>
        <w:pStyle w:val="Heading2"/>
        <w:keepNext/>
        <w:spacing w:after="60" w:before="160"/>
      </w:pPr>
      <w:r>
        <w:rPr>
          <w:rFonts w:ascii="Calibri" w:hAnsi="Calibri"/>
          <w:b/>
          <w:color w:val="1D1D1D"/>
          <w:sz w:val="21"/>
        </w:rPr>
        <w:t>8.  Forgetting contract labour at your premises</w:t>
      </w:r>
    </w:p>
    <w:p>
      <w:pPr>
        <w:keepNext w:val="0"/>
        <w:spacing w:after="120" w:before="0"/>
      </w:pPr>
      <w:r>
        <w:rPr>
          <w:rFonts w:ascii="Calibri" w:hAnsi="Calibri"/>
          <w:b w:val="0"/>
          <w:i w:val="0"/>
          <w:color w:val="1D1D1D"/>
          <w:sz w:val="20"/>
        </w:rPr>
        <w:t>Where 50 or more contract labour are engaged, rule 86 makes the principal employer provide the canteen and creche for those working at its premises.</w:t>
      </w:r>
    </w:p>
    <w:p>
      <w:r>
        <w:br w:type="page"/>
      </w:r>
    </w:p>
    <w:p>
      <w:pPr>
        <w:pStyle w:val="Heading1"/>
        <w:keepNext/>
        <w:spacing w:after="200" w:before="80"/>
        <w:ind w:left="115"/>
        <w:shd w:val="clear" w:fill="008CDB"/>
      </w:pPr>
      <w:r>
        <w:rPr>
          <w:rFonts w:ascii="Calibri" w:hAnsi="Calibri"/>
          <w:b/>
          <w:color w:val="FFFFFF"/>
          <w:sz w:val="22"/>
        </w:rPr>
        <w:t>7.  WHAT THIS PACK COULD NOT SETTLE</w:t>
      </w:r>
    </w:p>
    <w:p>
      <w:pPr>
        <w:keepNext w:val="0"/>
        <w:spacing w:after="160" w:before="0"/>
      </w:pPr>
      <w:r>
        <w:rPr>
          <w:rFonts w:ascii="Calibri" w:hAnsi="Calibri"/>
          <w:b w:val="0"/>
          <w:i w:val="0"/>
          <w:color w:val="565656"/>
          <w:sz w:val="20"/>
        </w:rPr>
        <w:t>Said plainly, so a gap is not read as an answer.</w:t>
      </w:r>
    </w:p>
    <w:p>
      <w:pPr>
        <w:keepNext w:val="0"/>
        <w:spacing w:after="60" w:before="0"/>
        <w:ind w:left="360"/>
      </w:pPr>
      <w:r>
        <w:rPr>
          <w:rFonts w:ascii="Calibri" w:hAnsi="Calibri"/>
          <w:b w:val="0"/>
          <w:i w:val="0"/>
          <w:color w:val="1D1D1D"/>
          <w:sz w:val="20"/>
        </w:rPr>
        <w:t>•  A canteen for an office, a store or a hospital. Section 24(1)(v) speaks of any establishment with 100 workers; rule 53 names only factories, mines, construction, beedi and cigar, motor transport, dock work and plantations. Whether the Code alone binds the others, without a rule saying how, is not settled.</w:t>
      </w:r>
    </w:p>
    <w:p>
      <w:pPr>
        <w:keepNext w:val="0"/>
        <w:spacing w:after="60" w:before="0"/>
        <w:ind w:left="360"/>
      </w:pPr>
      <w:r>
        <w:rPr>
          <w:rFonts w:ascii="Calibri" w:hAnsi="Calibri"/>
          <w:b w:val="0"/>
          <w:i w:val="0"/>
          <w:color w:val="1D1D1D"/>
          <w:sz w:val="20"/>
        </w:rPr>
        <w:t>•  Whether these Central rules bind a State-sphere employer. Section 24 and section 67 give the rule-making power to the Central Government itself, and the OSH rules extend to the whole of India. That is our reading; a State may still take a different view, most of all on rule 37's standards beyond the number and the distance.</w:t>
      </w:r>
    </w:p>
    <w:p>
      <w:pPr>
        <w:keepNext w:val="0"/>
        <w:spacing w:after="60" w:before="0"/>
        <w:ind w:left="360"/>
      </w:pPr>
      <w:r>
        <w:rPr>
          <w:rFonts w:ascii="Calibri" w:hAnsi="Calibri"/>
          <w:b w:val="0"/>
          <w:i w:val="0"/>
          <w:color w:val="1D1D1D"/>
          <w:sz w:val="20"/>
        </w:rPr>
        <w:t>•  Whether a creche allowance under rule 37 also answers rule 58. The allowance is in the Social Security rules; rule 58 in the OSH rules has no allowance.</w:t>
      </w:r>
    </w:p>
    <w:p>
      <w:pPr>
        <w:keepNext w:val="0"/>
        <w:spacing w:after="60" w:before="0"/>
        <w:ind w:left="360"/>
      </w:pPr>
      <w:r>
        <w:rPr>
          <w:rFonts w:ascii="Calibri" w:hAnsi="Calibri"/>
          <w:b w:val="0"/>
          <w:i w:val="0"/>
          <w:color w:val="1D1D1D"/>
          <w:sz w:val="20"/>
        </w:rPr>
        <w:t>•  Whether the creche allowance counts as wages for provident fund, ESI and bonus. Nothing read for this pack says; ask your payroll adviser.</w:t>
      </w:r>
    </w:p>
    <w:p>
      <w:pPr>
        <w:keepNext w:val="0"/>
        <w:spacing w:after="60" w:before="0"/>
        <w:ind w:left="360"/>
      </w:pPr>
      <w:r>
        <w:rPr>
          <w:rFonts w:ascii="Calibri" w:hAnsi="Calibri"/>
          <w:b w:val="0"/>
          <w:i w:val="0"/>
          <w:color w:val="1D1D1D"/>
          <w:sz w:val="20"/>
        </w:rPr>
        <w:t>•  Whether a canteen also needs registration under the Food Safety and Standards Act, 2006. That Act was not read for this pack.</w:t>
      </w:r>
    </w:p>
    <w:p>
      <w:pPr>
        <w:keepNext w:val="0"/>
        <w:spacing w:after="60" w:before="0"/>
        <w:ind w:left="360"/>
      </w:pPr>
      <w:r>
        <w:rPr>
          <w:rFonts w:ascii="Calibri" w:hAnsi="Calibri"/>
          <w:b w:val="0"/>
          <w:i w:val="0"/>
          <w:color w:val="1D1D1D"/>
          <w:sz w:val="20"/>
        </w:rPr>
        <w:t>•  Form XVII section E refers to a creche allowance 'under Rule..' with the rule number left blank in the gazette. Rule 37(viii) is the allowance.</w:t>
      </w:r>
    </w:p>
    <w:p>
      <w:r>
        <w:br w:type="page"/>
      </w:r>
    </w:p>
    <w:p>
      <w:pPr>
        <w:pStyle w:val="Heading1"/>
        <w:keepNext/>
        <w:spacing w:after="200" w:before="80"/>
        <w:ind w:left="115"/>
        <w:shd w:val="clear" w:fill="008CDB"/>
      </w:pPr>
      <w:r>
        <w:rPr>
          <w:rFonts w:ascii="Calibri" w:hAnsi="Calibri"/>
          <w:b/>
          <w:color w:val="FFFFFF"/>
          <w:sz w:val="22"/>
        </w:rPr>
        <w:t>8.  SEVENTEEN CITATIONS</w:t>
      </w:r>
    </w:p>
    <w:p>
      <w:pPr>
        <w:keepNext w:val="0"/>
        <w:spacing w:after="160" w:before="0"/>
      </w:pPr>
      <w:r>
        <w:rPr>
          <w:rFonts w:ascii="Calibri" w:hAnsi="Calibri"/>
          <w:b w:val="0"/>
          <w:i w:val="0"/>
          <w:color w:val="565656"/>
          <w:sz w:val="20"/>
        </w:rPr>
        <w:t>Each read at its own provision on 09-Oct-2026.</w:t>
      </w:r>
    </w:p>
    <w:tbl>
      <w:tblPr>
        <w:tblStyle w:val="TableGrid"/>
        <w:tblW w:type="auto" w:w="0"/>
        <w:tblLook w:firstColumn="1" w:firstRow="1" w:lastColumn="0" w:lastRow="0" w:noHBand="0" w:noVBand="1" w:val="04A0"/>
      </w:tblPr>
      <w:tblGrid>
        <w:gridCol w:w="4824"/>
        <w:gridCol w:w="4824"/>
      </w:tblGrid>
      <w:tr>
        <w:tc>
          <w:tcPr>
            <w:tcW w:type="dxa" w:w="4176"/>
          </w:tcPr>
          <w:p>
            <w:pPr>
              <w:spacing w:after="40"/>
              <w:shd w:val="clear" w:fill="E8F4FC"/>
            </w:pPr>
            <w:r/>
            <w:r>
              <w:rPr>
                <w:rFonts w:ascii="Calibri" w:hAnsi="Calibri"/>
                <w:b/>
                <w:color w:val="0069A4"/>
                <w:sz w:val="17"/>
              </w:rPr>
              <w:t>Provision</w:t>
            </w:r>
          </w:p>
        </w:tc>
        <w:tc>
          <w:tcPr>
            <w:tcW w:type="dxa" w:w="5472"/>
          </w:tcPr>
          <w:p>
            <w:pPr>
              <w:spacing w:after="40"/>
              <w:shd w:val="clear" w:fill="E8F4FC"/>
            </w:pPr>
            <w:r/>
            <w:r>
              <w:rPr>
                <w:rFonts w:ascii="Calibri" w:hAnsi="Calibri"/>
                <w:b/>
                <w:color w:val="0069A4"/>
                <w:sz w:val="17"/>
              </w:rPr>
              <w:t>What it decides</w:t>
            </w:r>
          </w:p>
        </w:tc>
      </w:tr>
      <w:tr>
        <w:tc>
          <w:tcPr>
            <w:tcW w:type="dxa" w:w="4176"/>
          </w:tcPr>
          <w:p>
            <w:pPr>
              <w:spacing w:after="40"/>
            </w:pPr>
            <w:r/>
            <w:r>
              <w:rPr>
                <w:rFonts w:ascii="Calibri" w:hAnsi="Calibri"/>
                <w:color w:val="565656"/>
                <w:sz w:val="17"/>
              </w:rPr>
              <w:t>Code on Social Security, 2020, s.67(1)</w:t>
            </w:r>
          </w:p>
        </w:tc>
        <w:tc>
          <w:tcPr>
            <w:tcW w:type="dxa" w:w="5472"/>
          </w:tcPr>
          <w:p>
            <w:pPr>
              <w:spacing w:after="40"/>
            </w:pPr>
            <w:r/>
            <w:r>
              <w:rPr>
                <w:rFonts w:ascii="Calibri" w:hAnsi="Calibri"/>
                <w:color w:val="565656"/>
                <w:sz w:val="17"/>
              </w:rPr>
              <w:t>Creche at fifty employees, four visits a day, common creche allowed</w:t>
            </w:r>
          </w:p>
        </w:tc>
      </w:tr>
      <w:tr>
        <w:tc>
          <w:tcPr>
            <w:tcW w:type="dxa" w:w="4176"/>
          </w:tcPr>
          <w:p>
            <w:pPr>
              <w:spacing w:after="40"/>
            </w:pPr>
            <w:r/>
            <w:r>
              <w:rPr>
                <w:rFonts w:ascii="Calibri" w:hAnsi="Calibri"/>
                <w:color w:val="565656"/>
                <w:sz w:val="17"/>
              </w:rPr>
              <w:t>Code on Social Security, 2020, First Schedule, Chapter VI</w:t>
            </w:r>
          </w:p>
        </w:tc>
        <w:tc>
          <w:tcPr>
            <w:tcW w:type="dxa" w:w="5472"/>
          </w:tcPr>
          <w:p>
            <w:pPr>
              <w:spacing w:after="40"/>
            </w:pPr>
            <w:r/>
            <w:r>
              <w:rPr>
                <w:rFonts w:ascii="Calibri" w:hAnsi="Calibri"/>
                <w:color w:val="565656"/>
                <w:sz w:val="17"/>
              </w:rPr>
              <w:t>Factory, mine, plantation; shop or establishment at ten employees</w:t>
            </w:r>
          </w:p>
        </w:tc>
      </w:tr>
      <w:tr>
        <w:tc>
          <w:tcPr>
            <w:tcW w:type="dxa" w:w="4176"/>
          </w:tcPr>
          <w:p>
            <w:pPr>
              <w:spacing w:after="40"/>
            </w:pPr>
            <w:r/>
            <w:r>
              <w:rPr>
                <w:rFonts w:ascii="Calibri" w:hAnsi="Calibri"/>
                <w:color w:val="565656"/>
                <w:sz w:val="17"/>
              </w:rPr>
              <w:t>Code on Social Security, 2020, s.2(32)</w:t>
            </w:r>
          </w:p>
        </w:tc>
        <w:tc>
          <w:tcPr>
            <w:tcW w:type="dxa" w:w="5472"/>
          </w:tcPr>
          <w:p>
            <w:pPr>
              <w:spacing w:after="40"/>
            </w:pPr>
            <w:r/>
            <w:r>
              <w:rPr>
                <w:rFonts w:ascii="Calibri" w:hAnsi="Calibri"/>
                <w:color w:val="565656"/>
                <w:sz w:val="17"/>
              </w:rPr>
              <w:t>Factory: ten employees with power, twenty without</w:t>
            </w:r>
          </w:p>
        </w:tc>
      </w:tr>
      <w:tr>
        <w:tc>
          <w:tcPr>
            <w:tcW w:type="dxa" w:w="4176"/>
          </w:tcPr>
          <w:p>
            <w:pPr>
              <w:spacing w:after="40"/>
            </w:pPr>
            <w:r/>
            <w:r>
              <w:rPr>
                <w:rFonts w:ascii="Calibri" w:hAnsi="Calibri"/>
                <w:color w:val="565656"/>
                <w:sz w:val="17"/>
              </w:rPr>
              <w:t>Code on Social Security, 2020, s.2(26)</w:t>
            </w:r>
          </w:p>
        </w:tc>
        <w:tc>
          <w:tcPr>
            <w:tcW w:type="dxa" w:w="5472"/>
          </w:tcPr>
          <w:p>
            <w:pPr>
              <w:spacing w:after="40"/>
            </w:pPr>
            <w:r/>
            <w:r>
              <w:rPr>
                <w:rFonts w:ascii="Calibri" w:hAnsi="Calibri"/>
                <w:color w:val="565656"/>
                <w:sz w:val="17"/>
              </w:rPr>
              <w:t>Employee: contract staff and managers included, apprentices out</w:t>
            </w:r>
          </w:p>
        </w:tc>
      </w:tr>
      <w:tr>
        <w:tc>
          <w:tcPr>
            <w:tcW w:type="dxa" w:w="4176"/>
          </w:tcPr>
          <w:p>
            <w:pPr>
              <w:spacing w:after="40"/>
            </w:pPr>
            <w:r/>
            <w:r>
              <w:rPr>
                <w:rFonts w:ascii="Calibri" w:hAnsi="Calibri"/>
                <w:color w:val="565656"/>
                <w:sz w:val="17"/>
              </w:rPr>
              <w:t>Code on Social Security, 2020, s.133(m) and (iv)</w:t>
            </w:r>
          </w:p>
        </w:tc>
        <w:tc>
          <w:tcPr>
            <w:tcW w:type="dxa" w:w="5472"/>
          </w:tcPr>
          <w:p>
            <w:pPr>
              <w:spacing w:after="40"/>
            </w:pPr>
            <w:r/>
            <w:r>
              <w:rPr>
                <w:rFonts w:ascii="Calibri" w:hAnsi="Calibri"/>
                <w:color w:val="565656"/>
                <w:sz w:val="17"/>
              </w:rPr>
              <w:t>Fine up to ₹50,000</w:t>
            </w:r>
          </w:p>
        </w:tc>
      </w:tr>
      <w:tr>
        <w:tc>
          <w:tcPr>
            <w:tcW w:type="dxa" w:w="4176"/>
          </w:tcPr>
          <w:p>
            <w:pPr>
              <w:spacing w:after="40"/>
            </w:pPr>
            <w:r/>
            <w:r>
              <w:rPr>
                <w:rFonts w:ascii="Calibri" w:hAnsi="Calibri"/>
                <w:color w:val="565656"/>
                <w:sz w:val="17"/>
              </w:rPr>
              <w:t>Social Security (Central) Rules, 2026, rule 37(1) to (vii)</w:t>
            </w:r>
          </w:p>
        </w:tc>
        <w:tc>
          <w:tcPr>
            <w:tcW w:type="dxa" w:w="5472"/>
          </w:tcPr>
          <w:p>
            <w:pPr>
              <w:spacing w:after="40"/>
            </w:pPr>
            <w:r/>
            <w:r>
              <w:rPr>
                <w:rFonts w:ascii="Calibri" w:hAnsi="Calibri"/>
                <w:color w:val="565656"/>
                <w:sz w:val="17"/>
              </w:rPr>
              <w:t>Fifty employees; one kilometre; standards</w:t>
            </w:r>
          </w:p>
        </w:tc>
      </w:tr>
      <w:tr>
        <w:tc>
          <w:tcPr>
            <w:tcW w:type="dxa" w:w="4176"/>
          </w:tcPr>
          <w:p>
            <w:pPr>
              <w:spacing w:after="40"/>
            </w:pPr>
            <w:r/>
            <w:r>
              <w:rPr>
                <w:rFonts w:ascii="Calibri" w:hAnsi="Calibri"/>
                <w:color w:val="565656"/>
                <w:sz w:val="17"/>
              </w:rPr>
              <w:t>Social Security (Central) Rules, 2026, rule 37(viii)</w:t>
            </w:r>
          </w:p>
        </w:tc>
        <w:tc>
          <w:tcPr>
            <w:tcW w:type="dxa" w:w="5472"/>
          </w:tcPr>
          <w:p>
            <w:pPr>
              <w:spacing w:after="40"/>
            </w:pPr>
            <w:r/>
            <w:r>
              <w:rPr>
                <w:rFonts w:ascii="Calibri" w:hAnsi="Calibri"/>
                <w:color w:val="565656"/>
                <w:sz w:val="17"/>
              </w:rPr>
              <w:t>Creche allowance by agreement, ₹500 a child, two children</w:t>
            </w:r>
          </w:p>
        </w:tc>
      </w:tr>
      <w:tr>
        <w:tc>
          <w:tcPr>
            <w:tcW w:type="dxa" w:w="4176"/>
          </w:tcPr>
          <w:p>
            <w:pPr>
              <w:spacing w:after="40"/>
            </w:pPr>
            <w:r/>
            <w:r>
              <w:rPr>
                <w:rFonts w:ascii="Calibri" w:hAnsi="Calibri"/>
                <w:color w:val="565656"/>
                <w:sz w:val="17"/>
              </w:rPr>
              <w:t>Digital Personal Data Protection Act, 2023, s.9(1)</w:t>
            </w:r>
          </w:p>
        </w:tc>
        <w:tc>
          <w:tcPr>
            <w:tcW w:type="dxa" w:w="5472"/>
          </w:tcPr>
          <w:p>
            <w:pPr>
              <w:spacing w:after="40"/>
            </w:pPr>
            <w:r/>
            <w:r>
              <w:rPr>
                <w:rFonts w:ascii="Calibri" w:hAnsi="Calibri"/>
                <w:color w:val="565656"/>
                <w:sz w:val="17"/>
              </w:rPr>
              <w:t>A parent's verifiable consent before a child's data is processed</w:t>
            </w:r>
          </w:p>
        </w:tc>
      </w:tr>
      <w:tr>
        <w:tc>
          <w:tcPr>
            <w:tcW w:type="dxa" w:w="4176"/>
          </w:tcPr>
          <w:p>
            <w:pPr>
              <w:spacing w:after="40"/>
            </w:pPr>
            <w:r/>
            <w:r>
              <w:rPr>
                <w:rFonts w:ascii="Calibri" w:hAnsi="Calibri"/>
                <w:color w:val="565656"/>
                <w:sz w:val="17"/>
              </w:rPr>
              <w:t>OSH Code, 2020, s.24(1)(v)</w:t>
            </w:r>
          </w:p>
        </w:tc>
        <w:tc>
          <w:tcPr>
            <w:tcW w:type="dxa" w:w="5472"/>
          </w:tcPr>
          <w:p>
            <w:pPr>
              <w:spacing w:after="40"/>
            </w:pPr>
            <w:r/>
            <w:r>
              <w:rPr>
                <w:rFonts w:ascii="Calibri" w:hAnsi="Calibri"/>
                <w:color w:val="565656"/>
                <w:sz w:val="17"/>
              </w:rPr>
              <w:t>Canteen at 100 workers including contract labourers</w:t>
            </w:r>
          </w:p>
        </w:tc>
      </w:tr>
      <w:tr>
        <w:tc>
          <w:tcPr>
            <w:tcW w:type="dxa" w:w="4176"/>
          </w:tcPr>
          <w:p>
            <w:pPr>
              <w:spacing w:after="40"/>
            </w:pPr>
            <w:r/>
            <w:r>
              <w:rPr>
                <w:rFonts w:ascii="Calibri" w:hAnsi="Calibri"/>
                <w:color w:val="565656"/>
                <w:sz w:val="17"/>
              </w:rPr>
              <w:t>OSH Code, 2020, s.24(3)</w:t>
            </w:r>
          </w:p>
        </w:tc>
        <w:tc>
          <w:tcPr>
            <w:tcW w:type="dxa" w:w="5472"/>
          </w:tcPr>
          <w:p>
            <w:pPr>
              <w:spacing w:after="40"/>
            </w:pPr>
            <w:r/>
            <w:r>
              <w:rPr>
                <w:rFonts w:ascii="Calibri" w:hAnsi="Calibri"/>
                <w:color w:val="565656"/>
                <w:sz w:val="17"/>
              </w:rPr>
              <w:t>Creche rules for more than fifty workers</w:t>
            </w:r>
          </w:p>
        </w:tc>
      </w:tr>
      <w:tr>
        <w:tc>
          <w:tcPr>
            <w:tcW w:type="dxa" w:w="4176"/>
          </w:tcPr>
          <w:p>
            <w:pPr>
              <w:spacing w:after="40"/>
            </w:pPr>
            <w:r/>
            <w:r>
              <w:rPr>
                <w:rFonts w:ascii="Calibri" w:hAnsi="Calibri"/>
                <w:color w:val="565656"/>
                <w:sz w:val="17"/>
              </w:rPr>
              <w:t>OSH Code, 2020, s.134(2)(n), (o), (p)</w:t>
            </w:r>
          </w:p>
        </w:tc>
        <w:tc>
          <w:tcPr>
            <w:tcW w:type="dxa" w:w="5472"/>
          </w:tcPr>
          <w:p>
            <w:pPr>
              <w:spacing w:after="40"/>
            </w:pPr>
            <w:r/>
            <w:r>
              <w:rPr>
                <w:rFonts w:ascii="Calibri" w:hAnsi="Calibri"/>
                <w:color w:val="565656"/>
                <w:sz w:val="17"/>
              </w:rPr>
              <w:t>Welfare and creche rules are the Central Government's</w:t>
            </w:r>
          </w:p>
        </w:tc>
      </w:tr>
      <w:tr>
        <w:tc>
          <w:tcPr>
            <w:tcW w:type="dxa" w:w="4176"/>
          </w:tcPr>
          <w:p>
            <w:pPr>
              <w:spacing w:after="40"/>
            </w:pPr>
            <w:r/>
            <w:r>
              <w:rPr>
                <w:rFonts w:ascii="Calibri" w:hAnsi="Calibri"/>
                <w:color w:val="565656"/>
                <w:sz w:val="17"/>
              </w:rPr>
              <w:t>OSH Code, 2020, s.94</w:t>
            </w:r>
          </w:p>
        </w:tc>
        <w:tc>
          <w:tcPr>
            <w:tcW w:type="dxa" w:w="5472"/>
          </w:tcPr>
          <w:p>
            <w:pPr>
              <w:spacing w:after="40"/>
            </w:pPr>
            <w:r/>
            <w:r>
              <w:rPr>
                <w:rFonts w:ascii="Calibri" w:hAnsi="Calibri"/>
                <w:color w:val="565656"/>
                <w:sz w:val="17"/>
              </w:rPr>
              <w:t>General penalty: ₹2,00,000 to ₹3,00,000</w:t>
            </w:r>
          </w:p>
        </w:tc>
      </w:tr>
      <w:tr>
        <w:tc>
          <w:tcPr>
            <w:tcW w:type="dxa" w:w="4176"/>
          </w:tcPr>
          <w:p>
            <w:pPr>
              <w:spacing w:after="40"/>
            </w:pPr>
            <w:r/>
            <w:r>
              <w:rPr>
                <w:rFonts w:ascii="Calibri" w:hAnsi="Calibri"/>
                <w:color w:val="565656"/>
                <w:sz w:val="17"/>
              </w:rPr>
              <w:t>OSH (Central) Rules, 2026, rule 1(2)</w:t>
            </w:r>
          </w:p>
        </w:tc>
        <w:tc>
          <w:tcPr>
            <w:tcW w:type="dxa" w:w="5472"/>
          </w:tcPr>
          <w:p>
            <w:pPr>
              <w:spacing w:after="40"/>
            </w:pPr>
            <w:r/>
            <w:r>
              <w:rPr>
                <w:rFonts w:ascii="Calibri" w:hAnsi="Calibri"/>
                <w:color w:val="565656"/>
                <w:sz w:val="17"/>
              </w:rPr>
              <w:t>Extend to the whole of India</w:t>
            </w:r>
          </w:p>
        </w:tc>
      </w:tr>
      <w:tr>
        <w:tc>
          <w:tcPr>
            <w:tcW w:type="dxa" w:w="4176"/>
          </w:tcPr>
          <w:p>
            <w:pPr>
              <w:spacing w:after="40"/>
            </w:pPr>
            <w:r/>
            <w:r>
              <w:rPr>
                <w:rFonts w:ascii="Calibri" w:hAnsi="Calibri"/>
                <w:color w:val="565656"/>
                <w:sz w:val="17"/>
              </w:rPr>
              <w:t>OSH (Central) Rules, 2026, rule 53</w:t>
            </w:r>
          </w:p>
        </w:tc>
        <w:tc>
          <w:tcPr>
            <w:tcW w:type="dxa" w:w="5472"/>
          </w:tcPr>
          <w:p>
            <w:pPr>
              <w:spacing w:after="40"/>
            </w:pPr>
            <w:r/>
            <w:r>
              <w:rPr>
                <w:rFonts w:ascii="Calibri" w:hAnsi="Calibri"/>
                <w:color w:val="565656"/>
                <w:sz w:val="17"/>
              </w:rPr>
              <w:t>The canteen: listed industries, 100 workers, standards, committee, prices</w:t>
            </w:r>
          </w:p>
        </w:tc>
      </w:tr>
      <w:tr>
        <w:tc>
          <w:tcPr>
            <w:tcW w:type="dxa" w:w="4176"/>
          </w:tcPr>
          <w:p>
            <w:pPr>
              <w:spacing w:after="40"/>
            </w:pPr>
            <w:r/>
            <w:r>
              <w:rPr>
                <w:rFonts w:ascii="Calibri" w:hAnsi="Calibri"/>
                <w:color w:val="565656"/>
                <w:sz w:val="17"/>
              </w:rPr>
              <w:t>OSH (Central) Rules, 2026, rule 58</w:t>
            </w:r>
          </w:p>
        </w:tc>
        <w:tc>
          <w:tcPr>
            <w:tcW w:type="dxa" w:w="5472"/>
          </w:tcPr>
          <w:p>
            <w:pPr>
              <w:spacing w:after="40"/>
            </w:pPr>
            <w:r/>
            <w:r>
              <w:rPr>
                <w:rFonts w:ascii="Calibri" w:hAnsi="Calibri"/>
                <w:color w:val="565656"/>
                <w:sz w:val="17"/>
              </w:rPr>
              <w:t>The creche: listed industries, more than fifty workers, standards</w:t>
            </w:r>
          </w:p>
        </w:tc>
      </w:tr>
      <w:tr>
        <w:tc>
          <w:tcPr>
            <w:tcW w:type="dxa" w:w="4176"/>
          </w:tcPr>
          <w:p>
            <w:pPr>
              <w:spacing w:after="40"/>
            </w:pPr>
            <w:r/>
            <w:r>
              <w:rPr>
                <w:rFonts w:ascii="Calibri" w:hAnsi="Calibri"/>
                <w:color w:val="565656"/>
                <w:sz w:val="17"/>
              </w:rPr>
              <w:t>OSH (Central) Rules, 2026, rule 86(1)(iii) with OSH Code s.45</w:t>
            </w:r>
          </w:p>
        </w:tc>
        <w:tc>
          <w:tcPr>
            <w:tcW w:type="dxa" w:w="5472"/>
          </w:tcPr>
          <w:p>
            <w:pPr>
              <w:spacing w:after="40"/>
            </w:pPr>
            <w:r/>
            <w:r>
              <w:rPr>
                <w:rFonts w:ascii="Calibri" w:hAnsi="Calibri"/>
                <w:color w:val="565656"/>
                <w:sz w:val="17"/>
              </w:rPr>
              <w:t>Principal employer provides canteen and creche for contract labour, where 50 or more contract labour</w:t>
            </w:r>
          </w:p>
        </w:tc>
      </w:tr>
      <w:tr>
        <w:tc>
          <w:tcPr>
            <w:tcW w:type="dxa" w:w="4176"/>
          </w:tcPr>
          <w:p>
            <w:pPr>
              <w:spacing w:after="40"/>
            </w:pPr>
            <w:r/>
            <w:r>
              <w:rPr>
                <w:rFonts w:ascii="Calibri" w:hAnsi="Calibri"/>
                <w:color w:val="565656"/>
                <w:sz w:val="17"/>
              </w:rPr>
              <w:t>OSH (Central) Rules, 2026, Form XVII, section E</w:t>
            </w:r>
          </w:p>
        </w:tc>
        <w:tc>
          <w:tcPr>
            <w:tcW w:type="dxa" w:w="5472"/>
          </w:tcPr>
          <w:p>
            <w:pPr>
              <w:spacing w:after="40"/>
            </w:pPr>
            <w:r/>
            <w:r>
              <w:rPr>
                <w:rFonts w:ascii="Calibri" w:hAnsi="Calibri"/>
                <w:color w:val="565656"/>
                <w:sz w:val="17"/>
              </w:rPr>
              <w:t>Canteen and creche on the annual return</w:t>
            </w:r>
          </w:p>
        </w:tc>
      </w:tr>
    </w:tbl>
    <w:p>
      <w:pPr>
        <w:keepNext w:val="0"/>
        <w:spacing w:after="160" w:before="0"/>
      </w:pPr>
      <w:r>
        <w:rPr>
          <w:rFonts w:ascii="Calibri" w:hAnsi="Calibri"/>
          <w:b w:val="0"/>
          <w:i w:val="0"/>
          <w:color w:val="1D1D1D"/>
          <w:sz w:val="21"/>
        </w:rPr>
      </w:r>
    </w:p>
    <w:p>
      <w:pPr>
        <w:keepNext w:val="0"/>
        <w:spacing w:after="120" w:before="0"/>
      </w:pPr>
      <w:r>
        <w:rPr>
          <w:rFonts w:ascii="Calibri" w:hAnsi="Calibri"/>
          <w:b w:val="0"/>
          <w:i/>
          <w:color w:val="565656"/>
          <w:sz w:val="17"/>
        </w:rPr>
        <w:t>Provided by Attendo for general guidance, not legal advice, reviewed 09-Oct-2026.</w:t>
      </w:r>
    </w:p>
    <w:sectPr w:rsidR="00FC693F" w:rsidRPr="0006063C" w:rsidSect="00034616">
      <w:footerReference w:type="default" r:id="rId9"/>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Calibri" w:hAnsi="Calibri"/>
        <w:color w:val="8A8A8A"/>
        <w:sz w:val="15"/>
      </w:rPr>
      <w:t xml:space="preserve">Attendo (formerly Petpooja Payroll)  ·  attendohr.com  ·  Creche and Canteen Compliance Pack  ·  reviewed 09-Oct-2026  ·  page </w:t>
    </w:r>
    <w:r>
      <w:rPr>
        <w:rFonts w:ascii="Calibri" w:hAnsi="Calibri"/>
        <w:color w:val="8A8A8A"/>
        <w:sz w:val="15"/>
      </w:rPr>
      <w:fldChar w:fldCharType="begin"/>
    </w:r>
    <w:r>
      <w:rPr>
        <w:rFonts w:ascii="Calibri" w:hAnsi="Calibri"/>
        <w:color w:val="8A8A8A"/>
        <w:sz w:val="15"/>
      </w:rPr>
      <w:instrText xml:space="preserve"> PAGE </w:instrText>
    </w:r>
    <w:r>
      <w:rPr>
        <w:rFonts w:ascii="Calibri" w:hAnsi="Calibri"/>
        <w:color w:val="8A8A8A"/>
        <w:sz w:val="15"/>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1D1D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Creche and Canteen Compliance Pack</dc:title>
  <dc:subject/>
  <dc:creator>Attendo</dc:creator>
  <cp:keywords/>
  <dc:description>Reviewed 09-Oct-2026.</dc:description>
  <cp:lastModifiedBy/>
  <cp:revision>1</cp:revision>
  <dcterms:created xsi:type="dcterms:W3CDTF">2013-12-23T23:15:00Z</dcterms:created>
  <dcterms:modified xsi:type="dcterms:W3CDTF">2013-12-23T23:15:00Z</dcterms:modified>
  <cp:category/>
</cp:coreProperties>
</file>