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Appreciation Letter and Employee of the Month Pack</w:t>
      </w:r>
    </w:p>
    <w:p>
      <w:pPr>
        <w:keepNext w:val="0"/>
        <w:spacing w:after="320" w:before="0"/>
      </w:pPr>
      <w:r>
        <w:rPr>
          <w:rFonts w:ascii="Calibri" w:hAnsi="Calibri"/>
          <w:b w:val="0"/>
          <w:i w:val="0"/>
          <w:color w:val="565656"/>
          <w:sz w:val="26"/>
        </w:rPr>
        <w:t>Letters, certificates and a fair award scheme, with the tax and consent rules behind them</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factories, offices, hospitals, stores and warehouses</w:t>
      </w:r>
    </w:p>
    <w:p>
      <w:pPr>
        <w:keepNext w:val="0"/>
        <w:spacing w:after="60" w:before="0"/>
        <w:ind w:left="360"/>
      </w:pPr>
      <w:r>
        <w:rPr>
          <w:rFonts w:ascii="Calibri" w:hAnsi="Calibri"/>
          <w:b w:val="0"/>
          <w:i w:val="0"/>
          <w:color w:val="565656"/>
          <w:sz w:val="21"/>
        </w:rPr>
        <w:t>•  Which letter for which moment, from a quick thank-you to twenty years' service</w:t>
      </w:r>
    </w:p>
    <w:p>
      <w:pPr>
        <w:keepNext w:val="0"/>
        <w:spacing w:after="60" w:before="0"/>
        <w:ind w:left="360"/>
      </w:pPr>
      <w:r>
        <w:rPr>
          <w:rFonts w:ascii="Calibri" w:hAnsi="Calibri"/>
          <w:b w:val="0"/>
          <w:i w:val="0"/>
          <w:color w:val="565656"/>
          <w:sz w:val="21"/>
        </w:rPr>
        <w:t>•  How a cash award, a gift and a voucher are taxed, and the ₹15,000 a year below which gifts are nil</w:t>
      </w:r>
    </w:p>
    <w:p>
      <w:pPr>
        <w:keepNext w:val="0"/>
        <w:spacing w:after="60" w:before="0"/>
        <w:ind w:left="360"/>
      </w:pPr>
      <w:r>
        <w:rPr>
          <w:rFonts w:ascii="Calibri" w:hAnsi="Calibri"/>
          <w:b w:val="0"/>
          <w:i w:val="0"/>
          <w:color w:val="565656"/>
          <w:sz w:val="21"/>
        </w:rPr>
        <w:t>•  An employee of the month scheme with written criteria, a scoresheet and a consent form for public posts</w:t>
      </w:r>
    </w:p>
    <w:p>
      <w:pPr>
        <w:keepNext w:val="0"/>
        <w:spacing w:after="60" w:before="0"/>
        <w:ind w:left="360"/>
      </w:pPr>
      <w:r>
        <w:rPr>
          <w:rFonts w:ascii="Calibri" w:hAnsi="Calibri"/>
          <w:b w:val="0"/>
          <w:i w:val="0"/>
          <w:color w:val="565656"/>
          <w:sz w:val="21"/>
        </w:rPr>
        <w:t>•  Eleven formats, nine mistakes and forty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23-Oct-2026. General guidance, not legal advice.</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Which letter for which moment</w:t>
      </w:r>
    </w:p>
    <w:p>
      <w:pPr>
        <w:keepNext w:val="0"/>
        <w:spacing w:after="80" w:before="0"/>
      </w:pPr>
      <w:r>
        <w:rPr>
          <w:rFonts w:ascii="Calibri" w:hAnsi="Calibri"/>
          <w:b w:val="0"/>
          <w:i w:val="0"/>
          <w:color w:val="1D1D1D"/>
          <w:sz w:val="20"/>
        </w:rPr>
        <w:t>2.  When the reward is money, a gift or a voucher</w:t>
      </w:r>
    </w:p>
    <w:p>
      <w:pPr>
        <w:keepNext w:val="0"/>
        <w:spacing w:after="80" w:before="0"/>
      </w:pPr>
      <w:r>
        <w:rPr>
          <w:rFonts w:ascii="Calibri" w:hAnsi="Calibri"/>
          <w:b w:val="0"/>
          <w:i w:val="0"/>
          <w:color w:val="1D1D1D"/>
          <w:sz w:val="20"/>
        </w:rPr>
        <w:t>3.  Running employee of the month fairly</w:t>
      </w:r>
    </w:p>
    <w:p>
      <w:pPr>
        <w:keepNext w:val="0"/>
        <w:spacing w:after="80" w:before="0"/>
      </w:pPr>
      <w:r>
        <w:rPr>
          <w:rFonts w:ascii="Calibri" w:hAnsi="Calibri"/>
          <w:b w:val="0"/>
          <w:i w:val="0"/>
          <w:color w:val="1D1D1D"/>
          <w:sz w:val="20"/>
        </w:rPr>
        <w:t>4.  Sharing the winner's name and photo</w:t>
      </w:r>
    </w:p>
    <w:p>
      <w:pPr>
        <w:keepNext w:val="0"/>
        <w:spacing w:after="80" w:before="0"/>
      </w:pPr>
      <w:r>
        <w:rPr>
          <w:rFonts w:ascii="Calibri" w:hAnsi="Calibri"/>
          <w:b w:val="0"/>
          <w:i w:val="0"/>
          <w:color w:val="1D1D1D"/>
          <w:sz w:val="20"/>
        </w:rPr>
        <w:t>5.  Who these rules reach</w:t>
      </w:r>
    </w:p>
    <w:p>
      <w:pPr>
        <w:keepNext w:val="0"/>
        <w:spacing w:after="80" w:before="0"/>
      </w:pPr>
      <w:r>
        <w:rPr>
          <w:rFonts w:ascii="Calibri" w:hAnsi="Calibri"/>
          <w:b w:val="0"/>
          <w:i w:val="0"/>
          <w:color w:val="1D1D1D"/>
          <w:sz w:val="20"/>
        </w:rPr>
        <w:t>6.  Eleven formats</w:t>
      </w:r>
    </w:p>
    <w:p>
      <w:pPr>
        <w:keepNext w:val="0"/>
        <w:spacing w:after="80" w:before="0"/>
      </w:pPr>
      <w:r>
        <w:rPr>
          <w:rFonts w:ascii="Calibri" w:hAnsi="Calibri"/>
          <w:b w:val="0"/>
          <w:i w:val="0"/>
          <w:color w:val="1D1D1D"/>
          <w:sz w:val="20"/>
        </w:rPr>
        <w:t>7.  Nine mistakes</w:t>
      </w:r>
    </w:p>
    <w:p>
      <w:pPr>
        <w:keepNext w:val="0"/>
        <w:spacing w:after="80" w:before="0"/>
      </w:pPr>
      <w:r>
        <w:rPr>
          <w:rFonts w:ascii="Calibri" w:hAnsi="Calibri"/>
          <w:b w:val="0"/>
          <w:i w:val="0"/>
          <w:color w:val="1D1D1D"/>
          <w:sz w:val="20"/>
        </w:rPr>
        <w:t>8.  What this pack could not settle</w:t>
      </w:r>
    </w:p>
    <w:p>
      <w:pPr>
        <w:keepNext w:val="0"/>
        <w:spacing w:after="80" w:before="0"/>
      </w:pPr>
      <w:r>
        <w:rPr>
          <w:rFonts w:ascii="Calibri" w:hAnsi="Calibri"/>
          <w:b w:val="0"/>
          <w:i w:val="0"/>
          <w:color w:val="1D1D1D"/>
          <w:sz w:val="20"/>
        </w:rPr>
        <w:t>9.  Forty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A letter on its own needs nothing more: pick it in section 1. If money, a gift or a voucher goes with it, read section 2 before you promise anything, and log it in Format 11.</w:t>
      </w:r>
    </w:p>
    <w:p>
      <w:r>
        <w:br w:type="page"/>
      </w:r>
    </w:p>
    <w:p>
      <w:pPr>
        <w:pStyle w:val="Heading1"/>
        <w:keepNext/>
        <w:spacing w:after="200" w:before="80"/>
        <w:ind w:left="115"/>
        <w:shd w:val="clear" w:fill="008CDB"/>
      </w:pPr>
      <w:r>
        <w:rPr>
          <w:rFonts w:ascii="Calibri" w:hAnsi="Calibri"/>
          <w:b/>
          <w:color w:val="FFFFFF"/>
          <w:sz w:val="22"/>
        </w:rPr>
        <w:t>1.  WHICH LETTER FOR WHICH MOMENT</w:t>
      </w:r>
    </w:p>
    <w:p>
      <w:pPr>
        <w:keepNext w:val="0"/>
        <w:spacing w:after="120" w:before="0"/>
      </w:pPr>
      <w:r>
        <w:rPr>
          <w:rFonts w:ascii="Calibri" w:hAnsi="Calibri"/>
          <w:b w:val="0"/>
          <w:i w:val="0"/>
          <w:color w:val="1D1D1D"/>
          <w:sz w:val="20"/>
        </w:rPr>
        <w:t>Appreciation works when it is specific and prompt. Pick the format by the moment:</w:t>
      </w:r>
    </w:p>
    <w:tbl>
      <w:tblPr>
        <w:tblStyle w:val="TableGrid"/>
        <w:tblW w:type="auto" w:w="0"/>
        <w:tblLook w:firstColumn="1" w:firstRow="1" w:lastColumn="0" w:lastRow="0" w:noHBand="0" w:noVBand="1" w:val="04A0"/>
      </w:tblPr>
      <w:tblGrid>
        <w:gridCol w:w="4824"/>
        <w:gridCol w:w="4824"/>
      </w:tblGrid>
      <w:tr>
        <w:tc>
          <w:tcPr>
            <w:tcW w:type="dxa" w:w="6624"/>
          </w:tcPr>
          <w:p>
            <w:pPr>
              <w:spacing w:after="40"/>
              <w:shd w:val="clear" w:fill="E8F4FC"/>
            </w:pPr>
            <w:r/>
            <w:r>
              <w:rPr>
                <w:rFonts w:ascii="Calibri" w:hAnsi="Calibri"/>
                <w:b/>
                <w:color w:val="0069A4"/>
                <w:sz w:val="18"/>
              </w:rPr>
              <w:t>If you want to...</w:t>
            </w:r>
          </w:p>
        </w:tc>
        <w:tc>
          <w:tcPr>
            <w:tcW w:type="dxa" w:w="2736"/>
          </w:tcPr>
          <w:p>
            <w:pPr>
              <w:spacing w:after="40"/>
              <w:shd w:val="clear" w:fill="E8F4FC"/>
            </w:pPr>
            <w:r/>
            <w:r>
              <w:rPr>
                <w:rFonts w:ascii="Calibri" w:hAnsi="Calibri"/>
                <w:b/>
                <w:color w:val="0069A4"/>
                <w:sz w:val="18"/>
              </w:rPr>
              <w:t>Use</w:t>
            </w:r>
          </w:p>
        </w:tc>
      </w:tr>
      <w:tr>
        <w:tc>
          <w:tcPr>
            <w:tcW w:type="dxa" w:w="6624"/>
          </w:tcPr>
          <w:p>
            <w:pPr>
              <w:spacing w:after="40"/>
            </w:pPr>
            <w:r/>
            <w:r>
              <w:rPr>
                <w:rFonts w:ascii="Calibri" w:hAnsi="Calibri"/>
                <w:color w:val="565656"/>
                <w:sz w:val="18"/>
              </w:rPr>
              <w:t>Thank one person for a specific piece of work</w:t>
            </w:r>
          </w:p>
        </w:tc>
        <w:tc>
          <w:tcPr>
            <w:tcW w:type="dxa" w:w="2736"/>
          </w:tcPr>
          <w:p>
            <w:pPr>
              <w:spacing w:after="40"/>
            </w:pPr>
            <w:r/>
            <w:r>
              <w:rPr>
                <w:rFonts w:ascii="Calibri" w:hAnsi="Calibri"/>
                <w:color w:val="565656"/>
                <w:sz w:val="18"/>
              </w:rPr>
              <w:t>Format 01</w:t>
            </w:r>
          </w:p>
        </w:tc>
      </w:tr>
      <w:tr>
        <w:tc>
          <w:tcPr>
            <w:tcW w:type="dxa" w:w="6624"/>
          </w:tcPr>
          <w:p>
            <w:pPr>
              <w:spacing w:after="40"/>
            </w:pPr>
            <w:r/>
            <w:r>
              <w:rPr>
                <w:rFonts w:ascii="Calibri" w:hAnsi="Calibri"/>
                <w:color w:val="565656"/>
                <w:sz w:val="18"/>
              </w:rPr>
              <w:t>Thank someone quickly for extra effort: a covered shift, a late close, a festive rush</w:t>
            </w:r>
          </w:p>
        </w:tc>
        <w:tc>
          <w:tcPr>
            <w:tcW w:type="dxa" w:w="2736"/>
          </w:tcPr>
          <w:p>
            <w:pPr>
              <w:spacing w:after="40"/>
            </w:pPr>
            <w:r/>
            <w:r>
              <w:rPr>
                <w:rFonts w:ascii="Calibri" w:hAnsi="Calibri"/>
                <w:color w:val="565656"/>
                <w:sz w:val="18"/>
              </w:rPr>
              <w:t>Format 02</w:t>
            </w:r>
          </w:p>
        </w:tc>
      </w:tr>
      <w:tr>
        <w:tc>
          <w:tcPr>
            <w:tcW w:type="dxa" w:w="6624"/>
          </w:tcPr>
          <w:p>
            <w:pPr>
              <w:spacing w:after="40"/>
            </w:pPr>
            <w:r/>
            <w:r>
              <w:rPr>
                <w:rFonts w:ascii="Calibri" w:hAnsi="Calibri"/>
                <w:color w:val="565656"/>
                <w:sz w:val="18"/>
              </w:rPr>
              <w:t>Thank a whole team or shift for a result</w:t>
            </w:r>
          </w:p>
        </w:tc>
        <w:tc>
          <w:tcPr>
            <w:tcW w:type="dxa" w:w="2736"/>
          </w:tcPr>
          <w:p>
            <w:pPr>
              <w:spacing w:after="40"/>
            </w:pPr>
            <w:r/>
            <w:r>
              <w:rPr>
                <w:rFonts w:ascii="Calibri" w:hAnsi="Calibri"/>
                <w:color w:val="565656"/>
                <w:sz w:val="18"/>
              </w:rPr>
              <w:t>Format 03</w:t>
            </w:r>
          </w:p>
        </w:tc>
      </w:tr>
      <w:tr>
        <w:tc>
          <w:tcPr>
            <w:tcW w:type="dxa" w:w="6624"/>
          </w:tcPr>
          <w:p>
            <w:pPr>
              <w:spacing w:after="40"/>
            </w:pPr>
            <w:r/>
            <w:r>
              <w:rPr>
                <w:rFonts w:ascii="Calibri" w:hAnsi="Calibri"/>
                <w:color w:val="565656"/>
                <w:sz w:val="18"/>
              </w:rPr>
              <w:t>Mark five, ten, fifteen or twenty years of service</w:t>
            </w:r>
          </w:p>
        </w:tc>
        <w:tc>
          <w:tcPr>
            <w:tcW w:type="dxa" w:w="2736"/>
          </w:tcPr>
          <w:p>
            <w:pPr>
              <w:spacing w:after="40"/>
            </w:pPr>
            <w:r/>
            <w:r>
              <w:rPr>
                <w:rFonts w:ascii="Calibri" w:hAnsi="Calibri"/>
                <w:color w:val="565656"/>
                <w:sz w:val="18"/>
              </w:rPr>
              <w:t>Format 04</w:t>
            </w:r>
          </w:p>
        </w:tc>
      </w:tr>
      <w:tr>
        <w:tc>
          <w:tcPr>
            <w:tcW w:type="dxa" w:w="6624"/>
          </w:tcPr>
          <w:p>
            <w:pPr>
              <w:spacing w:after="40"/>
            </w:pPr>
            <w:r/>
            <w:r>
              <w:rPr>
                <w:rFonts w:ascii="Calibri" w:hAnsi="Calibri"/>
                <w:color w:val="565656"/>
                <w:sz w:val="18"/>
              </w:rPr>
              <w:t>Start an employee of the month scheme</w:t>
            </w:r>
          </w:p>
        </w:tc>
        <w:tc>
          <w:tcPr>
            <w:tcW w:type="dxa" w:w="2736"/>
          </w:tcPr>
          <w:p>
            <w:pPr>
              <w:spacing w:after="40"/>
            </w:pPr>
            <w:r/>
            <w:r>
              <w:rPr>
                <w:rFonts w:ascii="Calibri" w:hAnsi="Calibri"/>
                <w:color w:val="565656"/>
                <w:sz w:val="18"/>
              </w:rPr>
              <w:t>Formats 05 to 07</w:t>
            </w:r>
          </w:p>
        </w:tc>
      </w:tr>
      <w:tr>
        <w:tc>
          <w:tcPr>
            <w:tcW w:type="dxa" w:w="6624"/>
          </w:tcPr>
          <w:p>
            <w:pPr>
              <w:spacing w:after="40"/>
            </w:pPr>
            <w:r/>
            <w:r>
              <w:rPr>
                <w:rFonts w:ascii="Calibri" w:hAnsi="Calibri"/>
                <w:color w:val="565656"/>
                <w:sz w:val="18"/>
              </w:rPr>
              <w:t>Announce the winner and hand over the award</w:t>
            </w:r>
          </w:p>
        </w:tc>
        <w:tc>
          <w:tcPr>
            <w:tcW w:type="dxa" w:w="2736"/>
          </w:tcPr>
          <w:p>
            <w:pPr>
              <w:spacing w:after="40"/>
            </w:pPr>
            <w:r/>
            <w:r>
              <w:rPr>
                <w:rFonts w:ascii="Calibri" w:hAnsi="Calibri"/>
                <w:color w:val="565656"/>
                <w:sz w:val="18"/>
              </w:rPr>
              <w:t>Formats 08 and 09</w:t>
            </w:r>
          </w:p>
        </w:tc>
      </w:tr>
      <w:tr>
        <w:tc>
          <w:tcPr>
            <w:tcW w:type="dxa" w:w="6624"/>
          </w:tcPr>
          <w:p>
            <w:pPr>
              <w:spacing w:after="40"/>
            </w:pPr>
            <w:r/>
            <w:r>
              <w:rPr>
                <w:rFonts w:ascii="Calibri" w:hAnsi="Calibri"/>
                <w:color w:val="565656"/>
                <w:sz w:val="18"/>
              </w:rPr>
              <w:t>Post the winner's name or photo outside the company</w:t>
            </w:r>
          </w:p>
        </w:tc>
        <w:tc>
          <w:tcPr>
            <w:tcW w:type="dxa" w:w="2736"/>
          </w:tcPr>
          <w:p>
            <w:pPr>
              <w:spacing w:after="40"/>
            </w:pPr>
            <w:r/>
            <w:r>
              <w:rPr>
                <w:rFonts w:ascii="Calibri" w:hAnsi="Calibri"/>
                <w:color w:val="565656"/>
                <w:sz w:val="18"/>
              </w:rPr>
              <w:t>Format 10</w:t>
            </w:r>
          </w:p>
        </w:tc>
      </w:tr>
      <w:tr>
        <w:tc>
          <w:tcPr>
            <w:tcW w:type="dxa" w:w="6624"/>
          </w:tcPr>
          <w:p>
            <w:pPr>
              <w:spacing w:after="40"/>
            </w:pPr>
            <w:r/>
            <w:r>
              <w:rPr>
                <w:rFonts w:ascii="Calibri" w:hAnsi="Calibri"/>
                <w:color w:val="565656"/>
                <w:sz w:val="18"/>
              </w:rPr>
              <w:t>Give money, a gift or a voucher with any of these</w:t>
            </w:r>
          </w:p>
        </w:tc>
        <w:tc>
          <w:tcPr>
            <w:tcW w:type="dxa" w:w="2736"/>
          </w:tcPr>
          <w:p>
            <w:pPr>
              <w:spacing w:after="40"/>
            </w:pPr>
            <w:r/>
            <w:r>
              <w:rPr>
                <w:rFonts w:ascii="Calibri" w:hAnsi="Calibri"/>
                <w:color w:val="565656"/>
                <w:sz w:val="18"/>
              </w:rPr>
              <w:t>Section 2 first, then Format 11</w:t>
            </w:r>
          </w:p>
        </w:tc>
      </w:tr>
    </w:tbl>
    <w:p>
      <w:pPr>
        <w:keepNext w:val="0"/>
        <w:spacing w:after="80" w:before="0"/>
      </w:pPr>
      <w:r>
        <w:rPr>
          <w:rFonts w:ascii="Calibri" w:hAnsi="Calibri"/>
          <w:b w:val="0"/>
          <w:i w:val="0"/>
          <w:color w:val="1D1D1D"/>
          <w:sz w:val="21"/>
        </w:rPr>
      </w:r>
    </w:p>
    <w:p>
      <w:pPr>
        <w:pStyle w:val="Heading2"/>
        <w:keepNext/>
        <w:spacing w:after="60" w:before="160"/>
      </w:pPr>
      <w:r>
        <w:rPr>
          <w:rFonts w:ascii="Calibri" w:hAnsi="Calibri"/>
          <w:b/>
          <w:color w:val="1D1D1D"/>
          <w:sz w:val="21"/>
        </w:rPr>
        <w:t>What makes a letter land</w:t>
      </w:r>
    </w:p>
    <w:p>
      <w:pPr>
        <w:keepNext w:val="0"/>
        <w:spacing w:after="60" w:before="0"/>
        <w:ind w:left="360"/>
      </w:pPr>
      <w:r>
        <w:rPr>
          <w:rFonts w:ascii="Calibri" w:hAnsi="Calibri"/>
          <w:b w:val="0"/>
          <w:i w:val="0"/>
          <w:color w:val="1D1D1D"/>
          <w:sz w:val="20"/>
        </w:rPr>
        <w:t>•  Name the thing they did, with the date, not 'your hard work'.</w:t>
      </w:r>
    </w:p>
    <w:p>
      <w:pPr>
        <w:keepNext w:val="0"/>
        <w:spacing w:after="60" w:before="0"/>
        <w:ind w:left="360"/>
      </w:pPr>
      <w:r>
        <w:rPr>
          <w:rFonts w:ascii="Calibri" w:hAnsi="Calibri"/>
          <w:b w:val="0"/>
          <w:i w:val="0"/>
          <w:color w:val="1D1D1D"/>
          <w:sz w:val="20"/>
        </w:rPr>
        <w:t>•  Say what it changed, in numbers if you have them.</w:t>
      </w:r>
    </w:p>
    <w:p>
      <w:pPr>
        <w:keepNext w:val="0"/>
        <w:spacing w:after="60" w:before="0"/>
        <w:ind w:left="360"/>
      </w:pPr>
      <w:r>
        <w:rPr>
          <w:rFonts w:ascii="Calibri" w:hAnsi="Calibri"/>
          <w:b w:val="0"/>
          <w:i w:val="0"/>
          <w:color w:val="1D1D1D"/>
          <w:sz w:val="20"/>
        </w:rPr>
        <w:t>•  Send it within a week, while people still remember the work.</w:t>
      </w:r>
    </w:p>
    <w:p>
      <w:pPr>
        <w:keepNext w:val="0"/>
        <w:spacing w:after="60" w:before="0"/>
        <w:ind w:left="360"/>
      </w:pPr>
      <w:r>
        <w:rPr>
          <w:rFonts w:ascii="Calibri" w:hAnsi="Calibri"/>
          <w:b w:val="0"/>
          <w:i w:val="0"/>
          <w:color w:val="1D1D1D"/>
          <w:sz w:val="20"/>
        </w:rPr>
        <w:t>•  Have someone senior to their manager sign it, and copy it to the personnel file.</w:t>
      </w:r>
    </w:p>
    <w:p>
      <w:pPr>
        <w:keepNext w:val="0"/>
        <w:spacing w:after="60" w:before="0"/>
        <w:ind w:left="360"/>
      </w:pPr>
      <w:r>
        <w:rPr>
          <w:rFonts w:ascii="Calibri" w:hAnsi="Calibri"/>
          <w:b w:val="0"/>
          <w:i w:val="0"/>
          <w:color w:val="1D1D1D"/>
          <w:sz w:val="20"/>
        </w:rPr>
        <w:t>•  Promise nothing you do not mean. A letter that says 'you will get this every quarter' has written a term of employment, and section 2 says what that does.</w:t>
      </w:r>
    </w:p>
    <w:p>
      <w:pPr>
        <w:keepNext w:val="0"/>
        <w:spacing w:after="60" w:before="0"/>
        <w:ind w:left="360"/>
      </w:pPr>
      <w:r>
        <w:rPr>
          <w:rFonts w:ascii="Calibri" w:hAnsi="Calibri"/>
          <w:b w:val="0"/>
          <w:i w:val="0"/>
          <w:color w:val="1D1D1D"/>
          <w:sz w:val="20"/>
        </w:rPr>
        <w:t>•  Praise the work, not the whole record. 'Consistently outstanding' is quoted back in any later dispute over performance; 'closed the October audit with no findings' is not.</w:t>
      </w:r>
    </w:p>
    <w:p>
      <w:pPr>
        <w:spacing w:after="120"/>
        <w:ind w:left="288"/>
      </w:pPr>
      <w:r>
        <w:rPr>
          <w:rFonts w:ascii="Calibri" w:hAnsi="Calibri"/>
          <w:b/>
          <w:color w:val="0069A4"/>
          <w:sz w:val="17"/>
        </w:rPr>
        <w:t xml:space="preserve">Rests on  </w:t>
      </w:r>
      <w:r>
        <w:rPr>
          <w:rFonts w:ascii="Calibri" w:hAnsi="Calibri"/>
          <w:i/>
          <w:color w:val="565656"/>
          <w:sz w:val="17"/>
        </w:rPr>
        <w:t>Practice, not law, except the last point: Code on Wages, 2019, s.2(y), 'express or implied'</w:t>
      </w:r>
    </w:p>
    <w:p>
      <w:r>
        <w:br w:type="page"/>
      </w:r>
    </w:p>
    <w:p>
      <w:pPr>
        <w:pStyle w:val="Heading1"/>
        <w:keepNext/>
        <w:spacing w:after="200" w:before="80"/>
        <w:ind w:left="115"/>
        <w:shd w:val="clear" w:fill="008CDB"/>
      </w:pPr>
      <w:r>
        <w:rPr>
          <w:rFonts w:ascii="Calibri" w:hAnsi="Calibri"/>
          <w:b/>
          <w:color w:val="FFFFFF"/>
          <w:sz w:val="22"/>
        </w:rPr>
        <w:t>2.  WHEN THE REWARD IS MONEY, A GIFT OR A VOUCHER</w:t>
      </w:r>
    </w:p>
    <w:p>
      <w:pPr>
        <w:keepNext w:val="0"/>
        <w:spacing w:after="120" w:before="0"/>
      </w:pPr>
      <w:r>
        <w:rPr>
          <w:rFonts w:ascii="Calibri" w:hAnsi="Calibri"/>
          <w:b w:val="0"/>
          <w:i w:val="0"/>
          <w:color w:val="1D1D1D"/>
          <w:sz w:val="20"/>
        </w:rPr>
        <w:t>A letter costs nothing in tax. A reward is a different matter, and how it is taxed depends on what you hand over.</w:t>
      </w:r>
    </w:p>
    <w:p>
      <w:pPr>
        <w:keepNext w:val="0"/>
        <w:spacing w:after="160" w:before="0"/>
        <w:ind w:left="216"/>
        <w:shd w:val="clear" w:fill="F4FAFE"/>
      </w:pPr>
      <w:r>
        <w:rPr>
          <w:rFonts w:ascii="Calibri" w:hAnsi="Calibri"/>
          <w:b w:val="0"/>
          <w:i w:val="0"/>
          <w:color w:val="1D1D1D"/>
          <w:sz w:val="20"/>
        </w:rPr>
        <w:t>In practice. Cash: add it to that month's payroll as a separate earning, so tax is deducted with the salary. A gift or voucher: log it in Format 11 against the employee's running total for the year; if the total reaches ₹15,000, tell payroll to add the year's gifts, all of them, as a perquisite. Either way: call it a one-time award at the company's discretion. The detail is below.</w:t>
      </w:r>
    </w:p>
    <w:tbl>
      <w:tblPr>
        <w:tblStyle w:val="TableGrid"/>
        <w:tblW w:type="auto" w:w="0"/>
        <w:tblLook w:firstColumn="1" w:firstRow="1" w:lastColumn="0" w:lastRow="0" w:noHBand="0" w:noVBand="1" w:val="04A0"/>
      </w:tblPr>
      <w:tblGrid>
        <w:gridCol w:w="2412"/>
        <w:gridCol w:w="2412"/>
        <w:gridCol w:w="2412"/>
        <w:gridCol w:w="2412"/>
      </w:tblGrid>
      <w:tr>
        <w:tc>
          <w:tcPr>
            <w:tcW w:type="dxa" w:w="2016"/>
          </w:tcPr>
          <w:p>
            <w:pPr>
              <w:spacing w:after="40"/>
              <w:shd w:val="clear" w:fill="E8F4FC"/>
            </w:pPr>
            <w:r/>
            <w:r>
              <w:rPr>
                <w:rFonts w:ascii="Calibri" w:hAnsi="Calibri"/>
                <w:b/>
                <w:color w:val="0069A4"/>
                <w:sz w:val="17"/>
              </w:rPr>
              <w:t>Reward</w:t>
            </w:r>
          </w:p>
        </w:tc>
        <w:tc>
          <w:tcPr>
            <w:tcW w:type="dxa" w:w="3168"/>
          </w:tcPr>
          <w:p>
            <w:pPr>
              <w:spacing w:after="40"/>
              <w:shd w:val="clear" w:fill="E8F4FC"/>
            </w:pPr>
            <w:r/>
            <w:r>
              <w:rPr>
                <w:rFonts w:ascii="Calibri" w:hAnsi="Calibri"/>
                <w:b/>
                <w:color w:val="0069A4"/>
                <w:sz w:val="17"/>
              </w:rPr>
              <w:t>Income tax</w:t>
            </w:r>
          </w:p>
        </w:tc>
        <w:tc>
          <w:tcPr>
            <w:tcW w:type="dxa" w:w="2592"/>
          </w:tcPr>
          <w:p>
            <w:pPr>
              <w:spacing w:after="40"/>
              <w:shd w:val="clear" w:fill="E8F4FC"/>
            </w:pPr>
            <w:r/>
            <w:r>
              <w:rPr>
                <w:rFonts w:ascii="Calibri" w:hAnsi="Calibri"/>
                <w:b/>
                <w:color w:val="0069A4"/>
                <w:sz w:val="17"/>
              </w:rPr>
              <w:t>Wages and PF</w:t>
            </w:r>
          </w:p>
        </w:tc>
        <w:tc>
          <w:tcPr>
            <w:tcW w:type="dxa" w:w="1728"/>
          </w:tcPr>
          <w:p>
            <w:pPr>
              <w:spacing w:after="40"/>
              <w:shd w:val="clear" w:fill="E8F4FC"/>
            </w:pPr>
            <w:r/>
            <w:r>
              <w:rPr>
                <w:rFonts w:ascii="Calibri" w:hAnsi="Calibri"/>
                <w:b/>
                <w:color w:val="0069A4"/>
                <w:sz w:val="17"/>
              </w:rPr>
              <w:t>Record</w:t>
            </w:r>
          </w:p>
        </w:tc>
      </w:tr>
      <w:tr>
        <w:tc>
          <w:tcPr>
            <w:tcW w:type="dxa" w:w="2016"/>
          </w:tcPr>
          <w:p>
            <w:pPr>
              <w:spacing w:after="40"/>
            </w:pPr>
            <w:r/>
            <w:r>
              <w:rPr>
                <w:rFonts w:ascii="Calibri" w:hAnsi="Calibri"/>
                <w:color w:val="565656"/>
                <w:sz w:val="17"/>
              </w:rPr>
              <w:t>A letter, a certificate or thanks in public</w:t>
            </w:r>
          </w:p>
        </w:tc>
        <w:tc>
          <w:tcPr>
            <w:tcW w:type="dxa" w:w="3168"/>
          </w:tcPr>
          <w:p>
            <w:pPr>
              <w:spacing w:after="40"/>
            </w:pPr>
            <w:r/>
            <w:r>
              <w:rPr>
                <w:rFonts w:ascii="Calibri" w:hAnsi="Calibri"/>
                <w:color w:val="565656"/>
                <w:sz w:val="17"/>
              </w:rPr>
              <w:t>Nothing to tax</w:t>
            </w:r>
          </w:p>
        </w:tc>
        <w:tc>
          <w:tcPr>
            <w:tcW w:type="dxa" w:w="2592"/>
          </w:tcPr>
          <w:p>
            <w:pPr>
              <w:spacing w:after="40"/>
            </w:pPr>
            <w:r/>
            <w:r>
              <w:rPr>
                <w:rFonts w:ascii="Calibri" w:hAnsi="Calibri"/>
                <w:color w:val="565656"/>
                <w:sz w:val="17"/>
              </w:rPr>
              <w:t>Nothing</w:t>
            </w:r>
          </w:p>
        </w:tc>
        <w:tc>
          <w:tcPr>
            <w:tcW w:type="dxa" w:w="1728"/>
          </w:tcPr>
          <w:p>
            <w:pPr>
              <w:spacing w:after="40"/>
            </w:pPr>
            <w:r/>
            <w:r>
              <w:rPr>
                <w:rFonts w:ascii="Calibri" w:hAnsi="Calibri"/>
                <w:color w:val="565656"/>
                <w:sz w:val="17"/>
              </w:rPr>
              <w:t>A copy on the personnel file</w:t>
            </w:r>
          </w:p>
        </w:tc>
      </w:tr>
      <w:tr>
        <w:tc>
          <w:tcPr>
            <w:tcW w:type="dxa" w:w="2016"/>
          </w:tcPr>
          <w:p>
            <w:pPr>
              <w:spacing w:after="40"/>
            </w:pPr>
            <w:r/>
            <w:r>
              <w:rPr>
                <w:rFonts w:ascii="Calibri" w:hAnsi="Calibri"/>
                <w:color w:val="565656"/>
                <w:sz w:val="17"/>
              </w:rPr>
              <w:t>Cash, or a sum added to salary</w:t>
            </w:r>
          </w:p>
        </w:tc>
        <w:tc>
          <w:tcPr>
            <w:tcW w:type="dxa" w:w="3168"/>
          </w:tcPr>
          <w:p>
            <w:pPr>
              <w:spacing w:after="40"/>
            </w:pPr>
            <w:r/>
            <w:r>
              <w:rPr>
                <w:rFonts w:ascii="Calibri" w:hAnsi="Calibri"/>
                <w:color w:val="565656"/>
                <w:sz w:val="17"/>
              </w:rPr>
              <w:t>Salary: profits in addition to salary or wages (s.16(f)). TDS through payroll in the month it is paid (s.392(1))</w:t>
            </w:r>
          </w:p>
        </w:tc>
        <w:tc>
          <w:tcPr>
            <w:tcW w:type="dxa" w:w="2592"/>
          </w:tcPr>
          <w:p>
            <w:pPr>
              <w:spacing w:after="40"/>
            </w:pPr>
            <w:r/>
            <w:r>
              <w:rPr>
                <w:rFonts w:ascii="Calibri" w:hAnsi="Calibri"/>
                <w:color w:val="565656"/>
                <w:sz w:val="17"/>
              </w:rPr>
              <w:t>A one-off award at your discretion stays out, on our reading. A sum a scheme promises may be wages</w:t>
            </w:r>
          </w:p>
        </w:tc>
        <w:tc>
          <w:tcPr>
            <w:tcW w:type="dxa" w:w="1728"/>
          </w:tcPr>
          <w:p>
            <w:pPr>
              <w:spacing w:after="40"/>
            </w:pPr>
            <w:r/>
            <w:r>
              <w:rPr>
                <w:rFonts w:ascii="Calibri" w:hAnsi="Calibri"/>
                <w:color w:val="565656"/>
                <w:sz w:val="17"/>
              </w:rPr>
              <w:t>Format 11, and the payroll month</w:t>
            </w:r>
          </w:p>
        </w:tc>
      </w:tr>
      <w:tr>
        <w:tc>
          <w:tcPr>
            <w:tcW w:type="dxa" w:w="2016"/>
          </w:tcPr>
          <w:p>
            <w:pPr>
              <w:spacing w:after="40"/>
            </w:pPr>
            <w:r/>
            <w:r>
              <w:rPr>
                <w:rFonts w:ascii="Calibri" w:hAnsi="Calibri"/>
                <w:color w:val="565656"/>
                <w:sz w:val="17"/>
              </w:rPr>
              <w:t>A gift, voucher or token, on any occasion</w:t>
            </w:r>
          </w:p>
        </w:tc>
        <w:tc>
          <w:tcPr>
            <w:tcW w:type="dxa" w:w="3168"/>
          </w:tcPr>
          <w:p>
            <w:pPr>
              <w:spacing w:after="40"/>
            </w:pPr>
            <w:r/>
            <w:r>
              <w:rPr>
                <w:rFonts w:ascii="Calibri" w:hAnsi="Calibri"/>
                <w:color w:val="565656"/>
                <w:sz w:val="17"/>
              </w:rPr>
              <w:t>A perquisite (s.17(1)(e)) at its full value, and nil while the year's total is below ₹15,000 (rule 15(5)(a), Table IV, item 4)</w:t>
            </w:r>
          </w:p>
        </w:tc>
        <w:tc>
          <w:tcPr>
            <w:tcW w:type="dxa" w:w="2592"/>
          </w:tcPr>
          <w:p>
            <w:pPr>
              <w:spacing w:after="40"/>
            </w:pPr>
            <w:r/>
            <w:r>
              <w:rPr>
                <w:rFonts w:ascii="Calibri" w:hAnsi="Calibri"/>
                <w:color w:val="565656"/>
                <w:sz w:val="17"/>
              </w:rPr>
              <w:t>Not wages, unless given in place of wages (s.2(y), Explanation)</w:t>
            </w:r>
          </w:p>
        </w:tc>
        <w:tc>
          <w:tcPr>
            <w:tcW w:type="dxa" w:w="1728"/>
          </w:tcPr>
          <w:p>
            <w:pPr>
              <w:spacing w:after="40"/>
            </w:pPr>
            <w:r/>
            <w:r>
              <w:rPr>
                <w:rFonts w:ascii="Calibri" w:hAnsi="Calibri"/>
                <w:color w:val="565656"/>
                <w:sz w:val="17"/>
              </w:rPr>
              <w:t>Format 11, with the running total for the tax year</w:t>
            </w:r>
          </w:p>
        </w:tc>
      </w:tr>
    </w:tbl>
    <w:p>
      <w:pPr>
        <w:keepNext w:val="0"/>
        <w:spacing w:after="80" w:before="0"/>
      </w:pPr>
      <w:r>
        <w:rPr>
          <w:rFonts w:ascii="Calibri" w:hAnsi="Calibri"/>
          <w:b w:val="0"/>
          <w:i w:val="0"/>
          <w:color w:val="1D1D1D"/>
          <w:sz w:val="21"/>
        </w:rPr>
      </w:r>
    </w:p>
    <w:p>
      <w:pPr>
        <w:pStyle w:val="Heading2"/>
        <w:keepNext/>
        <w:spacing w:after="60" w:before="160"/>
      </w:pPr>
      <w:r>
        <w:rPr>
          <w:rFonts w:ascii="Calibri" w:hAnsi="Calibri"/>
          <w:b/>
          <w:color w:val="1D1D1D"/>
          <w:sz w:val="21"/>
        </w:rPr>
        <w:t>Cash is salary</w:t>
      </w:r>
    </w:p>
    <w:p>
      <w:pPr>
        <w:keepNext w:val="0"/>
        <w:spacing w:after="120" w:before="0"/>
      </w:pPr>
      <w:r>
        <w:rPr>
          <w:rFonts w:ascii="Calibri" w:hAnsi="Calibri"/>
          <w:b w:val="0"/>
          <w:i w:val="0"/>
          <w:color w:val="1D1D1D"/>
          <w:sz w:val="20"/>
        </w:rPr>
        <w:t>Salary includes 'profits in lieu of, or in addition to, any salary or wages' (Income-tax Act, 2025, s.16(f)), which a cash award is. So it goes through payroll in the month you pay it, and tax is deducted at the average rate for the employee's year (s.392(1)). The ₹15,000 rule below is for gifts, vouchers and tokens; on our reading it does not reach cash.</w:t>
      </w:r>
    </w:p>
    <w:p>
      <w:pPr>
        <w:keepNext w:val="0"/>
        <w:spacing w:after="120" w:before="0"/>
      </w:pPr>
      <w:r>
        <w:rPr>
          <w:rFonts w:ascii="Calibri" w:hAnsi="Calibri"/>
          <w:b w:val="0"/>
          <w:i w:val="0"/>
          <w:color w:val="1D1D1D"/>
          <w:sz w:val="20"/>
        </w:rPr>
        <w:t>What getting it wrong costs: an employer who does not deduct, or deducts and does not pay, is 'an assessee in default' for that tax (s.398(1)), with interest at 1% a month on tax not deducted and 1.5% a month on tax deducted but not paid (s.398(3)(a)).</w:t>
      </w:r>
    </w:p>
    <w:p>
      <w:pPr>
        <w:pStyle w:val="Heading2"/>
        <w:keepNext/>
        <w:spacing w:after="60" w:before="160"/>
      </w:pPr>
      <w:r>
        <w:rPr>
          <w:rFonts w:ascii="Calibri" w:hAnsi="Calibri"/>
          <w:b/>
          <w:color w:val="1D1D1D"/>
          <w:sz w:val="21"/>
        </w:rPr>
        <w:t>Gifts and vouchers: the ₹15,000 line</w:t>
      </w:r>
    </w:p>
    <w:p>
      <w:pPr>
        <w:keepNext w:val="0"/>
        <w:spacing w:after="80" w:before="0"/>
      </w:pPr>
      <w:r>
        <w:rPr>
          <w:rFonts w:ascii="Calibri" w:hAnsi="Calibri"/>
          <w:b w:val="0"/>
          <w:i w:val="0"/>
          <w:color w:val="1D1D1D"/>
          <w:sz w:val="20"/>
        </w:rPr>
        <w:t>A gift, voucher or token from the employer, 'on ceremonial occasions or otherwise', is a perquisite valued at its amount, and the value is nil if it 'is below ₹15,000 in aggregate during the tax year' (Income-tax Rules, 2026, rule 15(5)(a), Table IV, item 4, under s.17(1)(e)). Two things follow from the words.</w:t>
      </w:r>
    </w:p>
    <w:p>
      <w:pPr>
        <w:keepNext w:val="0"/>
        <w:spacing w:after="60" w:before="0"/>
        <w:ind w:left="360"/>
      </w:pPr>
      <w:r>
        <w:rPr>
          <w:rFonts w:ascii="Calibri" w:hAnsi="Calibri"/>
          <w:b w:val="0"/>
          <w:i w:val="0"/>
          <w:color w:val="1D1D1D"/>
          <w:sz w:val="20"/>
        </w:rPr>
        <w:t>•  It is one total for the year, per employee. The Diwali hamper, a birthday voucher and an award all count together, and so do gifts to members of the employee's household, which is why Format 11 keeps a running total.</w:t>
      </w:r>
    </w:p>
    <w:p>
      <w:pPr>
        <w:keepNext w:val="0"/>
        <w:spacing w:after="60" w:before="0"/>
        <w:ind w:left="360"/>
      </w:pPr>
      <w:r>
        <w:rPr>
          <w:rFonts w:ascii="Calibri" w:hAnsi="Calibri"/>
          <w:b w:val="0"/>
          <w:i w:val="0"/>
          <w:color w:val="1D1D1D"/>
          <w:sz w:val="20"/>
        </w:rPr>
        <w:t>•  Once the total reaches ₹15,000, on the rule's words, the whole amount is a perquisite, not just the part above ₹15,000.</w:t>
      </w:r>
    </w:p>
    <w:p>
      <w:pPr>
        <w:keepNext w:val="0"/>
        <w:spacing w:after="80" w:before="0"/>
      </w:pPr>
      <w:r>
        <w:rPr>
          <w:rFonts w:ascii="Calibri" w:hAnsi="Calibri"/>
          <w:b w:val="0"/>
          <w:i w:val="0"/>
          <w:color w:val="1D1D1D"/>
          <w:sz w:val="20"/>
        </w:rPr>
        <w:t>One employee's year, worked through:</w:t>
      </w:r>
    </w:p>
    <w:tbl>
      <w:tblPr>
        <w:tblStyle w:val="TableGrid"/>
        <w:tblW w:type="auto" w:w="0"/>
        <w:tblLook w:firstColumn="1" w:firstRow="1" w:lastColumn="0" w:lastRow="0" w:noHBand="0" w:noVBand="1" w:val="04A0"/>
      </w:tblPr>
      <w:tblGrid>
        <w:gridCol w:w="2412"/>
        <w:gridCol w:w="2412"/>
        <w:gridCol w:w="2412"/>
        <w:gridCol w:w="2412"/>
      </w:tblGrid>
      <w:tr>
        <w:tc>
          <w:tcPr>
            <w:tcW w:type="dxa" w:w="4032"/>
          </w:tcPr>
          <w:p>
            <w:pPr>
              <w:spacing w:after="40"/>
              <w:shd w:val="clear" w:fill="E8F4FC"/>
            </w:pPr>
            <w:r/>
            <w:r>
              <w:rPr>
                <w:rFonts w:ascii="Calibri" w:hAnsi="Calibri"/>
                <w:b/>
                <w:color w:val="0069A4"/>
                <w:sz w:val="18"/>
              </w:rPr>
              <w:t>Gift</w:t>
            </w:r>
          </w:p>
        </w:tc>
        <w:tc>
          <w:tcPr>
            <w:tcW w:type="dxa" w:w="1440"/>
          </w:tcPr>
          <w:p>
            <w:pPr>
              <w:spacing w:after="40"/>
              <w:shd w:val="clear" w:fill="E8F4FC"/>
            </w:pPr>
            <w:r/>
            <w:r>
              <w:rPr>
                <w:rFonts w:ascii="Calibri" w:hAnsi="Calibri"/>
                <w:b/>
                <w:color w:val="0069A4"/>
                <w:sz w:val="18"/>
              </w:rPr>
              <w:t>Value</w:t>
            </w:r>
          </w:p>
        </w:tc>
        <w:tc>
          <w:tcPr>
            <w:tcW w:type="dxa" w:w="1728"/>
          </w:tcPr>
          <w:p>
            <w:pPr>
              <w:spacing w:after="40"/>
              <w:shd w:val="clear" w:fill="E8F4FC"/>
            </w:pPr>
            <w:r/>
            <w:r>
              <w:rPr>
                <w:rFonts w:ascii="Calibri" w:hAnsi="Calibri"/>
                <w:b/>
                <w:color w:val="0069A4"/>
                <w:sz w:val="18"/>
              </w:rPr>
              <w:t>Year's total</w:t>
            </w:r>
          </w:p>
        </w:tc>
        <w:tc>
          <w:tcPr>
            <w:tcW w:type="dxa" w:w="2160"/>
          </w:tcPr>
          <w:p>
            <w:pPr>
              <w:spacing w:after="40"/>
              <w:shd w:val="clear" w:fill="E8F4FC"/>
            </w:pPr>
            <w:r/>
            <w:r>
              <w:rPr>
                <w:rFonts w:ascii="Calibri" w:hAnsi="Calibri"/>
                <w:b/>
                <w:color w:val="0069A4"/>
                <w:sz w:val="18"/>
              </w:rPr>
              <w:t>Taxable value</w:t>
            </w:r>
          </w:p>
        </w:tc>
      </w:tr>
      <w:tr>
        <w:tc>
          <w:tcPr>
            <w:tcW w:type="dxa" w:w="4032"/>
          </w:tcPr>
          <w:p>
            <w:pPr>
              <w:spacing w:after="40"/>
            </w:pPr>
            <w:r/>
            <w:r>
              <w:rPr>
                <w:rFonts w:ascii="Calibri" w:hAnsi="Calibri"/>
                <w:color w:val="565656"/>
                <w:sz w:val="18"/>
              </w:rPr>
              <w:t>Diwali hamper, November</w:t>
            </w:r>
          </w:p>
        </w:tc>
        <w:tc>
          <w:tcPr>
            <w:tcW w:type="dxa" w:w="1440"/>
          </w:tcPr>
          <w:p>
            <w:pPr>
              <w:spacing w:after="40"/>
            </w:pPr>
            <w:r/>
            <w:r>
              <w:rPr>
                <w:rFonts w:ascii="Calibri" w:hAnsi="Calibri"/>
                <w:color w:val="565656"/>
                <w:sz w:val="18"/>
              </w:rPr>
              <w:t>₹6,000</w:t>
            </w:r>
          </w:p>
        </w:tc>
        <w:tc>
          <w:tcPr>
            <w:tcW w:type="dxa" w:w="1728"/>
          </w:tcPr>
          <w:p>
            <w:pPr>
              <w:spacing w:after="40"/>
            </w:pPr>
            <w:r/>
            <w:r>
              <w:rPr>
                <w:rFonts w:ascii="Calibri" w:hAnsi="Calibri"/>
                <w:color w:val="565656"/>
                <w:sz w:val="18"/>
              </w:rPr>
              <w:t>₹6,000</w:t>
            </w:r>
          </w:p>
        </w:tc>
        <w:tc>
          <w:tcPr>
            <w:tcW w:type="dxa" w:w="2160"/>
          </w:tcPr>
          <w:p>
            <w:pPr>
              <w:spacing w:after="40"/>
            </w:pPr>
            <w:r/>
            <w:r>
              <w:rPr>
                <w:rFonts w:ascii="Calibri" w:hAnsi="Calibri"/>
                <w:color w:val="565656"/>
                <w:sz w:val="18"/>
              </w:rPr>
              <w:t>Nil</w:t>
            </w:r>
          </w:p>
        </w:tc>
      </w:tr>
      <w:tr>
        <w:tc>
          <w:tcPr>
            <w:tcW w:type="dxa" w:w="4032"/>
          </w:tcPr>
          <w:p>
            <w:pPr>
              <w:spacing w:after="40"/>
            </w:pPr>
            <w:r/>
            <w:r>
              <w:rPr>
                <w:rFonts w:ascii="Calibri" w:hAnsi="Calibri"/>
                <w:color w:val="565656"/>
                <w:sz w:val="18"/>
              </w:rPr>
              <w:t>Employee of the month voucher, January</w:t>
            </w:r>
          </w:p>
        </w:tc>
        <w:tc>
          <w:tcPr>
            <w:tcW w:type="dxa" w:w="1440"/>
          </w:tcPr>
          <w:p>
            <w:pPr>
              <w:spacing w:after="40"/>
            </w:pPr>
            <w:r/>
            <w:r>
              <w:rPr>
                <w:rFonts w:ascii="Calibri" w:hAnsi="Calibri"/>
                <w:color w:val="565656"/>
                <w:sz w:val="18"/>
              </w:rPr>
              <w:t>₹5,000</w:t>
            </w:r>
          </w:p>
        </w:tc>
        <w:tc>
          <w:tcPr>
            <w:tcW w:type="dxa" w:w="1728"/>
          </w:tcPr>
          <w:p>
            <w:pPr>
              <w:spacing w:after="40"/>
            </w:pPr>
            <w:r/>
            <w:r>
              <w:rPr>
                <w:rFonts w:ascii="Calibri" w:hAnsi="Calibri"/>
                <w:color w:val="565656"/>
                <w:sz w:val="18"/>
              </w:rPr>
              <w:t>₹11,000</w:t>
            </w:r>
          </w:p>
        </w:tc>
        <w:tc>
          <w:tcPr>
            <w:tcW w:type="dxa" w:w="2160"/>
          </w:tcPr>
          <w:p>
            <w:pPr>
              <w:spacing w:after="40"/>
            </w:pPr>
            <w:r/>
            <w:r>
              <w:rPr>
                <w:rFonts w:ascii="Calibri" w:hAnsi="Calibri"/>
                <w:color w:val="565656"/>
                <w:sz w:val="18"/>
              </w:rPr>
              <w:t>Nil</w:t>
            </w:r>
          </w:p>
        </w:tc>
      </w:tr>
      <w:tr>
        <w:tc>
          <w:tcPr>
            <w:tcW w:type="dxa" w:w="4032"/>
          </w:tcPr>
          <w:p>
            <w:pPr>
              <w:spacing w:after="40"/>
            </w:pPr>
            <w:r/>
            <w:r>
              <w:rPr>
                <w:rFonts w:ascii="Calibri" w:hAnsi="Calibri"/>
                <w:color w:val="565656"/>
                <w:sz w:val="18"/>
              </w:rPr>
              <w:t>Long-service voucher, March</w:t>
            </w:r>
          </w:p>
        </w:tc>
        <w:tc>
          <w:tcPr>
            <w:tcW w:type="dxa" w:w="1440"/>
          </w:tcPr>
          <w:p>
            <w:pPr>
              <w:spacing w:after="40"/>
            </w:pPr>
            <w:r/>
            <w:r>
              <w:rPr>
                <w:rFonts w:ascii="Calibri" w:hAnsi="Calibri"/>
                <w:color w:val="565656"/>
                <w:sz w:val="18"/>
              </w:rPr>
              <w:t>₹5,000</w:t>
            </w:r>
          </w:p>
        </w:tc>
        <w:tc>
          <w:tcPr>
            <w:tcW w:type="dxa" w:w="1728"/>
          </w:tcPr>
          <w:p>
            <w:pPr>
              <w:spacing w:after="40"/>
            </w:pPr>
            <w:r/>
            <w:r>
              <w:rPr>
                <w:rFonts w:ascii="Calibri" w:hAnsi="Calibri"/>
                <w:color w:val="565656"/>
                <w:sz w:val="18"/>
              </w:rPr>
              <w:t>₹16,000</w:t>
            </w:r>
          </w:p>
        </w:tc>
        <w:tc>
          <w:tcPr>
            <w:tcW w:type="dxa" w:w="2160"/>
          </w:tcPr>
          <w:p>
            <w:pPr>
              <w:spacing w:after="40"/>
            </w:pPr>
            <w:r/>
            <w:r>
              <w:rPr>
                <w:rFonts w:ascii="Calibri" w:hAnsi="Calibri"/>
                <w:color w:val="565656"/>
                <w:sz w:val="18"/>
              </w:rPr>
              <w:t>All ₹16,000</w:t>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When a late gift tips the total over, the earlier ones become taxable too. Payroll recovers that tax over the remaining months: the deduction can be increased within the year to make up a shortfall (s.392(5)(c)). For a gift or voucher, a perquisite not paid in money, you may instead pay the tax on it yourself rather than deduct it from the employee (s.392(2)(a)); if you then fail to pay it, s.398(1) makes you the assessee in default all the same. Once taxable, the gifts go in the statement of perquisites you give the employee (s.392(5)(a)).</w:t>
      </w:r>
    </w:p>
    <w:p>
      <w:pPr>
        <w:pStyle w:val="Heading2"/>
        <w:keepNext/>
        <w:spacing w:after="60" w:before="160"/>
      </w:pPr>
      <w:r>
        <w:rPr>
          <w:rFonts w:ascii="Calibri" w:hAnsi="Calibri"/>
          <w:b/>
          <w:color w:val="1D1D1D"/>
          <w:sz w:val="21"/>
        </w:rPr>
        <w:t>When a reward becomes wages, and PF follows</w:t>
      </w:r>
    </w:p>
    <w:p>
      <w:pPr>
        <w:keepNext w:val="0"/>
        <w:spacing w:after="120" w:before="0"/>
      </w:pPr>
      <w:r>
        <w:rPr>
          <w:rFonts w:ascii="Calibri" w:hAnsi="Calibri"/>
          <w:b w:val="0"/>
          <w:i w:val="0"/>
          <w:color w:val="1D1D1D"/>
          <w:sz w:val="20"/>
        </w:rPr>
        <w:t>Wages are the remuneration that 'would, if the terms of employment, express or implied, were fulfilled, be payable' (Code on Wages, 2019, s.2(y); Code on Social Security, 2020, s.2(88), in the same words). On our reading, an award you decide after the event, at your discretion, is not payable under the terms and stays out of wages. A scheme that promises a set sum to whoever meets set criteria makes that sum payable under the terms, and none of the exclusions names it: the bonus exclusion, clause (a), reaches only a bonus payable under a law. Then it is wages, and PF follows: the EPF Scheme, 2026 takes 12% of 'the wages payable', 10% in notified classes of establishment (para 18(2)), up to the wage ceiling (para 18(3)), and borrows the Code's meaning of wages (para 2(2)). It also counts in the one-half test of the first proviso, a line the Centre can move by notification. No court has decided this under the Codes.</w:t>
      </w:r>
    </w:p>
    <w:p>
      <w:pPr>
        <w:keepNext w:val="0"/>
        <w:spacing w:after="160" w:before="0"/>
        <w:ind w:left="216"/>
        <w:shd w:val="clear" w:fill="FFF8E8"/>
      </w:pPr>
      <w:r>
        <w:rPr>
          <w:rFonts w:ascii="Calibri" w:hAnsi="Calibri"/>
          <w:b w:val="0"/>
          <w:i w:val="0"/>
          <w:color w:val="1D1D1D"/>
          <w:sz w:val="20"/>
        </w:rPr>
        <w:t>The safe course. Keep the award discretionary and say so, as Formats 01, 03 and 05 do. Pay cash through payroll. Ask your PF adviser before you promise a fixed sum every month. If an award later turns out to be wages and no PF was paid on it, the arrears carry interest and damages (Code on Social Security, s.127 and s.128).</w:t>
      </w:r>
    </w:p>
    <w:p>
      <w:pPr>
        <w:pStyle w:val="Heading2"/>
        <w:keepNext/>
        <w:spacing w:after="60" w:before="160"/>
      </w:pPr>
      <w:r>
        <w:rPr>
          <w:rFonts w:ascii="Calibri" w:hAnsi="Calibri"/>
          <w:b/>
          <w:color w:val="1D1D1D"/>
          <w:sz w:val="21"/>
        </w:rPr>
        <w:t>Not the statutory bonus</w:t>
      </w:r>
    </w:p>
    <w:p>
      <w:pPr>
        <w:keepNext w:val="0"/>
        <w:spacing w:after="120" w:before="0"/>
      </w:pPr>
      <w:r>
        <w:rPr>
          <w:rFonts w:ascii="Calibri" w:hAnsi="Calibri"/>
          <w:b w:val="0"/>
          <w:i w:val="0"/>
          <w:color w:val="1D1D1D"/>
          <w:sz w:val="20"/>
        </w:rPr>
        <w:t>The bonus the Code on Wages makes you pay each year is a separate duty with its own eligibility and its own sums. Call an award an award, so nobody mistakes one for the other.</w:t>
      </w:r>
    </w:p>
    <w:p>
      <w:pPr>
        <w:pStyle w:val="Heading2"/>
        <w:keepNext/>
        <w:spacing w:after="60" w:before="160"/>
      </w:pPr>
      <w:r>
        <w:rPr>
          <w:rFonts w:ascii="Calibri" w:hAnsi="Calibri"/>
          <w:b/>
          <w:color w:val="1D1D1D"/>
          <w:sz w:val="21"/>
        </w:rPr>
        <w:t>Stopping an award that has run for years</w:t>
      </w:r>
    </w:p>
    <w:p>
      <w:pPr>
        <w:keepNext w:val="0"/>
        <w:spacing w:after="120" w:before="0"/>
      </w:pPr>
      <w:r>
        <w:rPr>
          <w:rFonts w:ascii="Calibri" w:hAnsi="Calibri"/>
          <w:b w:val="0"/>
          <w:i w:val="0"/>
          <w:color w:val="1D1D1D"/>
          <w:sz w:val="20"/>
        </w:rPr>
        <w:t>Withdrawing 'any customary concession or privilege' is item 8 of the Third Schedule to the IR Code, so it is a change in conditions of service: notice to the workers, and twenty-one days' wait, before it takes effect (s.40). When a monthly award becomes customary the Code does not say. Format 05 gives the scheme an end date and a review; on our reading that makes it harder to call customary, but no court has said so. Section 40 carries no penalty of its own; that the general fine of up to ₹1,00,000 in s.86(20) reaches it is our reading.</w:t>
      </w:r>
    </w:p>
    <w:p>
      <w:pPr>
        <w:spacing w:after="120"/>
        <w:ind w:left="288"/>
      </w:pPr>
      <w:r>
        <w:rPr>
          <w:rFonts w:ascii="Calibri" w:hAnsi="Calibri"/>
          <w:b/>
          <w:color w:val="0069A4"/>
          <w:sz w:val="17"/>
        </w:rPr>
        <w:t xml:space="preserve">Rests on  </w:t>
      </w:r>
      <w:r>
        <w:rPr>
          <w:rFonts w:ascii="Calibri" w:hAnsi="Calibri"/>
          <w:i/>
          <w:color w:val="565656"/>
          <w:sz w:val="17"/>
        </w:rPr>
        <w:t>Income-tax Act, 2025, s.15(1), s.16(f), s.17(1)(e) and s.392(1), (2)(a) and (5)(c); Income-tax Rules, 2026, rule 15(5)(a), Table IV, item 4; Code on Wages, 2019, s.2(y); Code on Social Security, 2020, s.2(88); EPF Scheme, 2026, paras 2(2) and 18; IR Code, 2020, s.40 and Third Schedule, item 8</w:t>
      </w:r>
    </w:p>
    <w:p>
      <w:r>
        <w:br w:type="page"/>
      </w:r>
    </w:p>
    <w:p>
      <w:pPr>
        <w:pStyle w:val="Heading1"/>
        <w:keepNext/>
        <w:spacing w:after="200" w:before="80"/>
        <w:ind w:left="115"/>
        <w:shd w:val="clear" w:fill="008CDB"/>
      </w:pPr>
      <w:r>
        <w:rPr>
          <w:rFonts w:ascii="Calibri" w:hAnsi="Calibri"/>
          <w:b/>
          <w:color w:val="FFFFFF"/>
          <w:sz w:val="22"/>
        </w:rPr>
        <w:t>3.  RUNNING EMPLOYEE OF THE MONTH FAIRLY</w:t>
      </w:r>
    </w:p>
    <w:p>
      <w:pPr>
        <w:keepNext w:val="0"/>
        <w:spacing w:after="80" w:before="0"/>
      </w:pPr>
      <w:r>
        <w:rPr>
          <w:rFonts w:ascii="Calibri" w:hAnsi="Calibri"/>
          <w:b w:val="0"/>
          <w:i w:val="0"/>
          <w:color w:val="1D1D1D"/>
          <w:sz w:val="20"/>
        </w:rPr>
        <w:t>A scheme that looks rigged does more harm than no scheme. Four rules keep it clean:</w:t>
      </w:r>
    </w:p>
    <w:p>
      <w:pPr>
        <w:keepNext w:val="0"/>
        <w:spacing w:after="60" w:before="0"/>
        <w:ind w:left="360"/>
      </w:pPr>
      <w:r>
        <w:rPr>
          <w:rFonts w:ascii="Calibri" w:hAnsi="Calibri"/>
          <w:b w:val="0"/>
          <w:i w:val="0"/>
          <w:color w:val="1D1D1D"/>
          <w:sz w:val="20"/>
        </w:rPr>
        <w:t>•  Write the criteria before the month starts (Format 05), score every nominee against them and nothing else (Format 07), and keep the sheet for a year.</w:t>
      </w:r>
    </w:p>
    <w:p>
      <w:pPr>
        <w:keepNext w:val="0"/>
        <w:spacing w:after="60" w:before="0"/>
        <w:ind w:left="360"/>
      </w:pPr>
      <w:r>
        <w:rPr>
          <w:rFonts w:ascii="Calibri" w:hAnsi="Calibri"/>
          <w:b w:val="0"/>
          <w:i w:val="0"/>
          <w:color w:val="1D1D1D"/>
          <w:sz w:val="20"/>
        </w:rPr>
        <w:t>•  A panel of at least two decides, not one manager. Nobody scores a colleague they nominated.</w:t>
      </w:r>
    </w:p>
    <w:p>
      <w:pPr>
        <w:keepNext w:val="0"/>
        <w:spacing w:after="60" w:before="0"/>
        <w:ind w:left="360"/>
      </w:pPr>
      <w:r>
        <w:rPr>
          <w:rFonts w:ascii="Calibri" w:hAnsi="Calibri"/>
          <w:b w:val="0"/>
          <w:i w:val="0"/>
          <w:color w:val="1D1D1D"/>
          <w:sz w:val="20"/>
        </w:rPr>
        <w:t>•  Make every shift and every site eligible, so the night shift and the branch staff can win too.</w:t>
      </w:r>
    </w:p>
    <w:p>
      <w:pPr>
        <w:keepNext w:val="0"/>
        <w:spacing w:after="60" w:before="0"/>
        <w:ind w:left="360"/>
      </w:pPr>
      <w:r>
        <w:rPr>
          <w:rFonts w:ascii="Calibri" w:hAnsi="Calibri"/>
          <w:b w:val="0"/>
          <w:i w:val="0"/>
          <w:color w:val="1D1D1D"/>
          <w:sz w:val="20"/>
        </w:rPr>
        <w:t>•  Leave the law gives, such as maternity leave, earned leave taken or a holiday, is not poor attendance. Score reliability on what the employee controls.</w:t>
      </w:r>
    </w:p>
    <w:p>
      <w:pPr>
        <w:keepNext w:val="0"/>
        <w:spacing w:after="160" w:before="0"/>
        <w:ind w:left="216"/>
        <w:shd w:val="clear" w:fill="FFF8E8"/>
      </w:pPr>
      <w:r>
        <w:rPr>
          <w:rFonts w:ascii="Calibri" w:hAnsi="Calibri"/>
          <w:b w:val="0"/>
          <w:i w:val="0"/>
          <w:color w:val="1D1D1D"/>
          <w:sz w:val="20"/>
        </w:rPr>
        <w:t>The same criteria and the same award, whatever the gender. The Code on Wages forbids discrimination on the ground of sex 'in the conditions of employment' (s.3(2)(ii)), and an award scheme is, on our reading, one of them. Its one exception, work a law closes to women, is close to empty since the OSH Code entitles women to be employed in all establishments for all types of work (s.43). A breach is fined under s.54 of the Code on Wages: on our reading as 'any other contravention', up to ₹20,000, after a written chance to comply (s.54(1)(c) and (3)).</w:t>
      </w:r>
    </w:p>
    <w:p>
      <w:pPr>
        <w:spacing w:after="120"/>
        <w:ind w:left="288"/>
      </w:pPr>
      <w:r>
        <w:rPr>
          <w:rFonts w:ascii="Calibri" w:hAnsi="Calibri"/>
          <w:b/>
          <w:color w:val="0069A4"/>
          <w:sz w:val="17"/>
        </w:rPr>
        <w:t xml:space="preserve">Rests on  </w:t>
      </w:r>
      <w:r>
        <w:rPr>
          <w:rFonts w:ascii="Calibri" w:hAnsi="Calibri"/>
          <w:i/>
          <w:color w:val="565656"/>
          <w:sz w:val="17"/>
        </w:rPr>
        <w:t>Code on Wages, 2019, s.3(2)(ii); OSH Code, 2020, s.43. The four rules above are practice</w:t>
      </w:r>
    </w:p>
    <w:p>
      <w:r>
        <w:br w:type="page"/>
      </w:r>
    </w:p>
    <w:p>
      <w:pPr>
        <w:pStyle w:val="Heading1"/>
        <w:keepNext/>
        <w:spacing w:after="200" w:before="80"/>
        <w:ind w:left="115"/>
        <w:shd w:val="clear" w:fill="008CDB"/>
      </w:pPr>
      <w:r>
        <w:rPr>
          <w:rFonts w:ascii="Calibri" w:hAnsi="Calibri"/>
          <w:b/>
          <w:color w:val="FFFFFF"/>
          <w:sz w:val="22"/>
        </w:rPr>
        <w:t>4.  SHARING THE WINNER'S NAME AND PHOTO</w:t>
      </w:r>
    </w:p>
    <w:p>
      <w:pPr>
        <w:keepNext w:val="0"/>
        <w:spacing w:after="120" w:before="0"/>
      </w:pPr>
      <w:r>
        <w:rPr>
          <w:rFonts w:ascii="Calibri" w:hAnsi="Calibri"/>
          <w:b w:val="0"/>
          <w:i w:val="0"/>
          <w:color w:val="1D1D1D"/>
          <w:sz w:val="20"/>
        </w:rPr>
        <w:t>A name and a photograph are personal data, and the DPDP Act applies to digital personal data (s.3(a)): a photo file, an intranet post or an email all are. Personal data may be used only with consent or for one of the 'certain legitimate uses' (s.4(1)).</w:t>
      </w:r>
    </w:p>
    <w:p>
      <w:pPr>
        <w:pStyle w:val="Heading2"/>
        <w:keepNext/>
        <w:spacing w:after="60" w:before="160"/>
      </w:pPr>
      <w:r>
        <w:rPr>
          <w:rFonts w:ascii="Calibri" w:hAnsi="Calibri"/>
          <w:b/>
          <w:color w:val="1D1D1D"/>
          <w:sz w:val="21"/>
        </w:rPr>
        <w:t>Inside the company</w:t>
      </w:r>
    </w:p>
    <w:p>
      <w:pPr>
        <w:keepNext w:val="0"/>
        <w:spacing w:after="120" w:before="0"/>
      </w:pPr>
      <w:r>
        <w:rPr>
          <w:rFonts w:ascii="Calibri" w:hAnsi="Calibri"/>
          <w:b w:val="0"/>
          <w:i w:val="0"/>
          <w:color w:val="1D1D1D"/>
          <w:sz w:val="20"/>
        </w:rPr>
        <w:t>Processing 'for the purposes of employment' is a legitimate use and needs no consent (s.7(i)). On our reading, announcing the winner on the notice board or the intranet is that.</w:t>
      </w:r>
    </w:p>
    <w:p>
      <w:pPr>
        <w:pStyle w:val="Heading2"/>
        <w:keepNext/>
        <w:spacing w:after="60" w:before="160"/>
      </w:pPr>
      <w:r>
        <w:rPr>
          <w:rFonts w:ascii="Calibri" w:hAnsi="Calibri"/>
          <w:b/>
          <w:color w:val="1D1D1D"/>
          <w:sz w:val="21"/>
        </w:rPr>
        <w:t>Outside the company</w:t>
      </w:r>
    </w:p>
    <w:p>
      <w:pPr>
        <w:keepNext w:val="0"/>
        <w:spacing w:after="80" w:before="0"/>
      </w:pPr>
      <w:r>
        <w:rPr>
          <w:rFonts w:ascii="Calibri" w:hAnsi="Calibri"/>
          <w:b w:val="0"/>
          <w:i w:val="0"/>
          <w:color w:val="1D1D1D"/>
          <w:sz w:val="20"/>
        </w:rPr>
        <w:t>LinkedIn, Instagram, the website, a newsletter or a press note go beyond employment, on our reading, so take consent first. The Act sets the bar:</w:t>
      </w:r>
    </w:p>
    <w:p>
      <w:pPr>
        <w:keepNext w:val="0"/>
        <w:spacing w:after="60" w:before="0"/>
        <w:ind w:left="360"/>
      </w:pPr>
      <w:r>
        <w:rPr>
          <w:rFonts w:ascii="Calibri" w:hAnsi="Calibri"/>
          <w:b w:val="0"/>
          <w:i w:val="0"/>
          <w:color w:val="1D1D1D"/>
          <w:sz w:val="20"/>
        </w:rPr>
        <w:t>•  a notice of what you will share and why, with or before the request (s.5(1));</w:t>
      </w:r>
    </w:p>
    <w:p>
      <w:pPr>
        <w:keepNext w:val="0"/>
        <w:spacing w:after="60" w:before="0"/>
        <w:ind w:left="360"/>
      </w:pPr>
      <w:r>
        <w:rPr>
          <w:rFonts w:ascii="Calibri" w:hAnsi="Calibri"/>
          <w:b w:val="0"/>
          <w:i w:val="0"/>
          <w:color w:val="1D1D1D"/>
          <w:sz w:val="20"/>
        </w:rPr>
        <w:t>•  consent that is 'free, specific, informed, unconditional and unambiguous with a clear affirmative action' (s.6(1)), so a ticked box per channel, never a pre-ticked one;</w:t>
      </w:r>
    </w:p>
    <w:p>
      <w:pPr>
        <w:keepNext w:val="0"/>
        <w:spacing w:after="60" w:before="0"/>
        <w:ind w:left="360"/>
      </w:pPr>
      <w:r>
        <w:rPr>
          <w:rFonts w:ascii="Calibri" w:hAnsi="Calibri"/>
          <w:b w:val="0"/>
          <w:i w:val="0"/>
          <w:color w:val="1D1D1D"/>
          <w:sz w:val="20"/>
        </w:rPr>
        <w:t>•  a right to withdraw at any time, as easily as it was given (s.6(4));</w:t>
      </w:r>
    </w:p>
    <w:p>
      <w:pPr>
        <w:keepNext w:val="0"/>
        <w:spacing w:after="60" w:before="0"/>
        <w:ind w:left="360"/>
      </w:pPr>
      <w:r>
        <w:rPr>
          <w:rFonts w:ascii="Calibri" w:hAnsi="Calibri"/>
          <w:b w:val="0"/>
          <w:i w:val="0"/>
          <w:color w:val="1D1D1D"/>
          <w:sz w:val="20"/>
        </w:rPr>
        <w:t>•  and if it is ever questioned, you must prove the notice and the consent (s.6(10)).</w:t>
      </w:r>
    </w:p>
    <w:p>
      <w:pPr>
        <w:keepNext w:val="0"/>
        <w:spacing w:after="160" w:before="0"/>
        <w:ind w:left="216"/>
        <w:shd w:val="clear" w:fill="FFF8E8"/>
      </w:pPr>
      <w:r>
        <w:rPr>
          <w:rFonts w:ascii="Calibri" w:hAnsi="Calibri"/>
          <w:b w:val="0"/>
          <w:i w:val="0"/>
          <w:color w:val="1D1D1D"/>
          <w:sz w:val="20"/>
        </w:rPr>
        <w:t>'Free' means the award stands whether or not they agree. Format 10 says so in as many words. Hand it over after the award is decided, never with the nomination.</w:t>
      </w:r>
    </w:p>
    <w:p>
      <w:pPr>
        <w:keepNext w:val="0"/>
        <w:spacing w:after="120" w:before="0"/>
      </w:pPr>
      <w:r>
        <w:rPr>
          <w:rFonts w:ascii="Calibri" w:hAnsi="Calibri"/>
          <w:b w:val="0"/>
          <w:i w:val="0"/>
          <w:color w:val="1D1D1D"/>
          <w:sz w:val="20"/>
        </w:rPr>
        <w:t>Two cases need more. If the winner is under eighteen, or a person with a disability who has a lawful guardian, the consent must come from the parent or guardian, and be verifiable (s.9(1)): Format 10 has a line for it. And when consent is withdrawn, you must stop within a reasonable time (s.6(6)); Format 10 promises seven days.</w:t>
      </w:r>
    </w:p>
    <w:p>
      <w:pPr>
        <w:keepNext w:val="0"/>
        <w:spacing w:after="120" w:before="0"/>
      </w:pPr>
      <w:r>
        <w:rPr>
          <w:rFonts w:ascii="Calibri" w:hAnsi="Calibri"/>
          <w:b w:val="0"/>
          <w:i w:val="0"/>
          <w:color w:val="1D1D1D"/>
          <w:sz w:val="20"/>
        </w:rPr>
        <w:t>What a breach costs, once these sections are in force: up to ₹200 crore for the duties owed to children, and up to ₹50 crore for a breach of any other provision (the Schedule, items 3 and 7).</w:t>
      </w:r>
    </w:p>
    <w:p>
      <w:pPr>
        <w:keepNext w:val="0"/>
        <w:spacing w:after="120" w:before="0"/>
      </w:pPr>
      <w:r>
        <w:rPr>
          <w:rFonts w:ascii="Calibri" w:hAnsi="Calibri"/>
          <w:b w:val="0"/>
          <w:i w:val="0"/>
          <w:color w:val="1D1D1D"/>
          <w:sz w:val="20"/>
        </w:rPr>
        <w:t>When it starts: the Rules that carry the notice and other duties, rules 3 and 5 to 16, come into force on 13-May-2027 (rule 1(4)). A post you put up today is still up on that date, so take consent now.</w:t>
      </w:r>
    </w:p>
    <w:p>
      <w:pPr>
        <w:spacing w:after="120"/>
        <w:ind w:left="288"/>
      </w:pPr>
      <w:r>
        <w:rPr>
          <w:rFonts w:ascii="Calibri" w:hAnsi="Calibri"/>
          <w:b/>
          <w:color w:val="0069A4"/>
          <w:sz w:val="17"/>
        </w:rPr>
        <w:t xml:space="preserve">Rests on  </w:t>
      </w:r>
      <w:r>
        <w:rPr>
          <w:rFonts w:ascii="Calibri" w:hAnsi="Calibri"/>
          <w:i/>
          <w:color w:val="565656"/>
          <w:sz w:val="17"/>
        </w:rPr>
        <w:t>DPDP Act, 2023, s.3(a), s.4(1), s.5(1), s.6(1), s.6(4), s.6(6), s.6(10), s.7(i), s.9(1), s.13(3) and the Schedule; DPDP Rules, 2025, rule 1(4)</w:t>
      </w:r>
    </w:p>
    <w:p>
      <w:r>
        <w:br w:type="page"/>
      </w:r>
    </w:p>
    <w:p>
      <w:pPr>
        <w:pStyle w:val="Heading1"/>
        <w:keepNext/>
        <w:spacing w:after="200" w:before="80"/>
        <w:ind w:left="115"/>
        <w:shd w:val="clear" w:fill="008CDB"/>
      </w:pPr>
      <w:r>
        <w:rPr>
          <w:rFonts w:ascii="Calibri" w:hAnsi="Calibri"/>
          <w:b/>
          <w:color w:val="FFFFFF"/>
          <w:sz w:val="22"/>
        </w:rPr>
        <w:t>5.  WHO THESE RULES REACH</w:t>
      </w:r>
    </w:p>
    <w:p>
      <w:pPr>
        <w:keepNext w:val="0"/>
        <w:spacing w:after="60" w:before="0"/>
        <w:ind w:left="360"/>
      </w:pPr>
      <w:r>
        <w:rPr>
          <w:rFonts w:ascii="Calibri" w:hAnsi="Calibri"/>
          <w:b w:val="0"/>
          <w:i w:val="0"/>
          <w:color w:val="1D1D1D"/>
          <w:sz w:val="20"/>
        </w:rPr>
        <w:t>•  Income tax on a cash award, and TDS through payroll: every employer paying salary (Income-tax Act, 2025, s.392(1)).</w:t>
      </w:r>
    </w:p>
    <w:p>
      <w:pPr>
        <w:keepNext w:val="0"/>
        <w:spacing w:after="60" w:before="0"/>
        <w:ind w:left="360"/>
      </w:pPr>
      <w:r>
        <w:rPr>
          <w:rFonts w:ascii="Calibri" w:hAnsi="Calibri"/>
          <w:b w:val="0"/>
          <w:i w:val="0"/>
          <w:color w:val="1D1D1D"/>
          <w:sz w:val="20"/>
        </w:rPr>
        <w:t>•  The ₹15,000 gift rule: every employee, whatever the employer's size.</w:t>
      </w:r>
    </w:p>
    <w:p>
      <w:pPr>
        <w:keepNext w:val="0"/>
        <w:spacing w:after="60" w:before="0"/>
        <w:ind w:left="360"/>
      </w:pPr>
      <w:r>
        <w:rPr>
          <w:rFonts w:ascii="Calibri" w:hAnsi="Calibri"/>
          <w:b w:val="0"/>
          <w:i w:val="0"/>
          <w:color w:val="1D1D1D"/>
          <w:sz w:val="20"/>
        </w:rPr>
        <w:t>•  PF on an award that counts as wages: an establishment with twenty or more employees, where the PF chapter applies (Code on Social Security, First Schedule, Chapter III).</w:t>
      </w:r>
    </w:p>
    <w:p>
      <w:pPr>
        <w:keepNext w:val="0"/>
        <w:spacing w:after="60" w:before="0"/>
        <w:ind w:left="360"/>
      </w:pPr>
      <w:r>
        <w:rPr>
          <w:rFonts w:ascii="Calibri" w:hAnsi="Calibri"/>
          <w:b w:val="0"/>
          <w:i w:val="0"/>
          <w:color w:val="1D1D1D"/>
          <w:sz w:val="20"/>
        </w:rPr>
        <w:t>•  The 21 days' notice before withdrawing a customary award: owed to workers, which leaves out managers and supervisors drawing wages over ₹18,000 a month (IR Code s.2(zr)). There is no headcount threshold.</w:t>
      </w:r>
    </w:p>
    <w:p>
      <w:pPr>
        <w:keepNext w:val="0"/>
        <w:spacing w:after="60" w:before="0"/>
        <w:ind w:left="360"/>
      </w:pPr>
      <w:r>
        <w:rPr>
          <w:rFonts w:ascii="Calibri" w:hAnsi="Calibri"/>
          <w:b w:val="0"/>
          <w:i w:val="0"/>
          <w:color w:val="1D1D1D"/>
          <w:sz w:val="20"/>
        </w:rPr>
        <w:t>•  Equal treatment in the scheme: every establishment (Code on Wages s.3).</w:t>
      </w:r>
    </w:p>
    <w:p>
      <w:pPr>
        <w:keepNext w:val="0"/>
        <w:spacing w:after="60" w:before="0"/>
        <w:ind w:left="360"/>
      </w:pPr>
      <w:r>
        <w:rPr>
          <w:rFonts w:ascii="Calibri" w:hAnsi="Calibri"/>
          <w:b w:val="0"/>
          <w:i w:val="0"/>
          <w:color w:val="1D1D1D"/>
          <w:sz w:val="20"/>
        </w:rPr>
        <w:t>•  Consent for public posts: every employer using an employee's digital personal data (DPDP Act s.3(a)).</w:t>
      </w:r>
    </w:p>
    <w:p>
      <w:pPr>
        <w:spacing w:after="120"/>
        <w:ind w:left="288"/>
      </w:pPr>
      <w:r>
        <w:rPr>
          <w:rFonts w:ascii="Calibri" w:hAnsi="Calibri"/>
          <w:b/>
          <w:color w:val="0069A4"/>
          <w:sz w:val="17"/>
        </w:rPr>
        <w:t xml:space="preserve">Rests on  </w:t>
      </w:r>
      <w:r>
        <w:rPr>
          <w:rFonts w:ascii="Calibri" w:hAnsi="Calibri"/>
          <w:i/>
          <w:color w:val="565656"/>
          <w:sz w:val="17"/>
        </w:rPr>
        <w:t>Income-tax Act, 2025, s.392(1); Income-tax Rules, 2026, rule 15(5)(a); Code on Social Security, 2020, First Schedule; IR Code, 2020, s.2(zr) and s.40; Code on Wages, 2019, s.3; DPDP Act, 2023, s.3(a)</w:t>
      </w:r>
    </w:p>
    <w:p>
      <w:r>
        <w:br w:type="page"/>
      </w:r>
    </w:p>
    <w:p>
      <w:pPr>
        <w:pStyle w:val="Heading1"/>
        <w:keepNext/>
        <w:spacing w:after="200" w:before="80"/>
        <w:ind w:left="115"/>
        <w:shd w:val="clear" w:fill="008CDB"/>
      </w:pPr>
      <w:r>
        <w:rPr>
          <w:rFonts w:ascii="Calibri" w:hAnsi="Calibri"/>
          <w:b/>
          <w:color w:val="FFFFFF"/>
          <w:sz w:val="22"/>
        </w:rPr>
        <w:t>6.  ELEVEN FORMATS</w:t>
      </w:r>
    </w:p>
    <w:p>
      <w:pPr>
        <w:keepNext w:val="0"/>
        <w:spacing w:after="160" w:before="0"/>
      </w:pPr>
      <w:r>
        <w:rPr>
          <w:rFonts w:ascii="Calibri" w:hAnsi="Calibri"/>
          <w:b w:val="0"/>
          <w:i w:val="0"/>
          <w:color w:val="565656"/>
          <w:sz w:val="20"/>
        </w:rPr>
        <w:t>Everything in [CAPITALS] is yours to fill or delete. Where a bracket offers choices split by '/', keep one.</w:t>
      </w:r>
    </w:p>
    <w:p>
      <w:pPr>
        <w:pStyle w:val="Heading1"/>
        <w:keepNext/>
        <w:spacing w:after="200" w:before="80"/>
        <w:ind w:left="115"/>
        <w:shd w:val="clear" w:fill="0069A4"/>
      </w:pPr>
      <w:r>
        <w:rPr>
          <w:rFonts w:ascii="Calibri" w:hAnsi="Calibri"/>
          <w:b/>
          <w:color w:val="FFFFFF"/>
          <w:sz w:val="20"/>
        </w:rPr>
        <w:t>FORMAT 01  ·  APPRECIATION LETTER FOR A SPECIFIC ACHIEVEMENT</w:t>
      </w:r>
    </w:p>
    <w:p>
      <w:pPr>
        <w:keepNext w:val="0"/>
        <w:spacing w:after="120" w:before="0"/>
        <w:ind w:left="144"/>
        <w:shd w:val="clear" w:fill="F4FAFE"/>
      </w:pPr>
      <w:r>
        <w:rPr>
          <w:rFonts w:ascii="Calibri" w:hAnsi="Calibri"/>
          <w:b w:val="0"/>
          <w:i/>
          <w:color w:val="565656"/>
          <w:sz w:val="18"/>
        </w:rPr>
        <w:t>Note for HR, delete before sending: Name the work, the result, in numbers if you have them, and who it helped. Send it within a week, signed by someone senior to the employee's manager, with a copy to the personnel file. The reward line is optional: if money or a voucher goes with the letter, read section 2 first, and keep the words 'one-time award at the company's discretion'.</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 [DEPARTMENT / BRANCH]</w:t>
      </w:r>
    </w:p>
    <w:p>
      <w:pPr>
        <w:keepNext w:val="0"/>
        <w:spacing w:after="100" w:before="0"/>
      </w:pPr>
      <w:r>
        <w:rPr>
          <w:rFonts w:ascii="Calibri" w:hAnsi="Calibri"/>
          <w:b w:val="0"/>
          <w:i w:val="0"/>
          <w:color w:val="1D1D1D"/>
          <w:sz w:val="20"/>
        </w:rPr>
        <w:t>Subject: Appreciation for [THE WORK, IN A FEW WORDS]</w:t>
      </w:r>
    </w:p>
    <w:p>
      <w:pPr>
        <w:keepNext w:val="0"/>
        <w:spacing w:after="100" w:before="0"/>
      </w:pPr>
      <w:r>
        <w:rPr>
          <w:rFonts w:ascii="Calibri" w:hAnsi="Calibri"/>
          <w:b w:val="0"/>
          <w:i w:val="0"/>
          <w:color w:val="1D1D1D"/>
          <w:sz w:val="20"/>
        </w:rPr>
        <w:t>Dear [FIRST NAME],</w:t>
      </w:r>
    </w:p>
    <w:p>
      <w:pPr>
        <w:keepNext w:val="0"/>
        <w:spacing w:after="100" w:before="0"/>
      </w:pPr>
      <w:r>
        <w:rPr>
          <w:rFonts w:ascii="Calibri" w:hAnsi="Calibri"/>
          <w:b w:val="0"/>
          <w:i w:val="0"/>
          <w:color w:val="1D1D1D"/>
          <w:sz w:val="20"/>
        </w:rPr>
        <w:t>On [DATE OR PERIOD], you [WHAT YOU DID, SPECIFICALLY]. Because of it, [THE RESULT: the order shipped two days early / the audit closed with no findings / the ward ran fully staffed through the night].</w:t>
      </w:r>
    </w:p>
    <w:p>
      <w:pPr>
        <w:keepNext w:val="0"/>
        <w:spacing w:after="100" w:before="0"/>
      </w:pPr>
      <w:r>
        <w:rPr>
          <w:rFonts w:ascii="Calibri" w:hAnsi="Calibri"/>
          <w:b w:val="0"/>
          <w:i w:val="0"/>
          <w:color w:val="1D1D1D"/>
          <w:sz w:val="20"/>
        </w:rPr>
        <w:t>[ONE SENTENCE ON WHY IT MATTERED: who it helped, what it saved, what it made possible.]</w:t>
      </w:r>
    </w:p>
    <w:p>
      <w:pPr>
        <w:keepNext w:val="0"/>
        <w:spacing w:after="100" w:before="0"/>
      </w:pPr>
      <w:r>
        <w:rPr>
          <w:rFonts w:ascii="Calibri" w:hAnsi="Calibri"/>
          <w:b w:val="0"/>
          <w:i w:val="0"/>
          <w:color w:val="1D1D1D"/>
          <w:sz w:val="20"/>
        </w:rPr>
        <w:t>Thank you. A copy of this letter goes on your personnel file.</w:t>
      </w:r>
    </w:p>
    <w:p>
      <w:pPr>
        <w:keepNext w:val="0"/>
        <w:spacing w:after="100" w:before="0"/>
      </w:pPr>
      <w:r>
        <w:rPr>
          <w:rFonts w:ascii="Calibri" w:hAnsi="Calibri"/>
          <w:b w:val="0"/>
          <w:i w:val="0"/>
          <w:color w:val="1D1D1D"/>
          <w:sz w:val="20"/>
        </w:rPr>
        <w:t>[OPTIONAL, DELETE IF NOT USED: In recognition, the company is giving you [₹ AMOUNT, paid with your salary for MONTH YYYY / a gift voucher worth ₹ AMOUNT]. This is a one-time award at the company's discretion.]</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02  ·  THANK-YOU NOTE FOR EXTRA EFFORT</w:t>
      </w:r>
    </w:p>
    <w:p>
      <w:pPr>
        <w:keepNext w:val="0"/>
        <w:spacing w:after="120" w:before="0"/>
        <w:ind w:left="144"/>
        <w:shd w:val="clear" w:fill="F4FAFE"/>
      </w:pPr>
      <w:r>
        <w:rPr>
          <w:rFonts w:ascii="Calibri" w:hAnsi="Calibri"/>
          <w:b w:val="0"/>
          <w:i/>
          <w:color w:val="565656"/>
          <w:sz w:val="18"/>
        </w:rPr>
        <w:t>Note for HR, delete before sending: Short on purpose, for the everyday: a covered shift, a late month-end close, a festive rush. Signed by the manager. It works as an email too: drop the letterhead and reference line. It carries no reward line; if there is money, use Format 01.</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w:t>
      </w:r>
    </w:p>
    <w:p>
      <w:pPr>
        <w:keepNext w:val="0"/>
        <w:spacing w:after="100" w:before="0"/>
      </w:pPr>
      <w:r>
        <w:rPr>
          <w:rFonts w:ascii="Calibri" w:hAnsi="Calibri"/>
          <w:b w:val="0"/>
          <w:i w:val="0"/>
          <w:color w:val="1D1D1D"/>
          <w:sz w:val="20"/>
        </w:rPr>
        <w:t>Dear [FIRST NAME],</w:t>
      </w:r>
    </w:p>
    <w:p>
      <w:pPr>
        <w:keepNext w:val="0"/>
        <w:spacing w:after="100" w:before="0"/>
      </w:pPr>
      <w:r>
        <w:rPr>
          <w:rFonts w:ascii="Calibri" w:hAnsi="Calibri"/>
          <w:b w:val="0"/>
          <w:i w:val="0"/>
          <w:color w:val="1D1D1D"/>
          <w:sz w:val="20"/>
        </w:rPr>
        <w:t>Thank you for [WHAT YOU DID: staying back to close the month / covering the night shift on DATE / handling the festive rush at BRANCH]. It made a real difference to [WHO OR WHAT].</w:t>
      </w:r>
    </w:p>
    <w:p>
      <w:pPr>
        <w:keepNext w:val="0"/>
        <w:spacing w:after="100" w:before="0"/>
      </w:pPr>
      <w:r>
        <w:rPr>
          <w:rFonts w:ascii="Calibri" w:hAnsi="Calibri"/>
          <w:b w:val="0"/>
          <w:i w:val="0"/>
          <w:color w:val="1D1D1D"/>
          <w:sz w:val="20"/>
        </w:rPr>
        <w:t>We noticed, and we are grateful.</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With thanks,</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03  ·  TEAM APPRECIATION LETTER</w:t>
      </w:r>
    </w:p>
    <w:p>
      <w:pPr>
        <w:keepNext w:val="0"/>
        <w:spacing w:after="120" w:before="0"/>
        <w:ind w:left="144"/>
        <w:shd w:val="clear" w:fill="F4FAFE"/>
      </w:pPr>
      <w:r>
        <w:rPr>
          <w:rFonts w:ascii="Calibri" w:hAnsi="Calibri"/>
          <w:b w:val="0"/>
          <w:i/>
          <w:color w:val="565656"/>
          <w:sz w:val="18"/>
        </w:rPr>
        <w:t>Note for HR, delete before sending: Addressed to the team, put up on the board and sent to each member. List every name: leaving one off is how a thank-you becomes a grievance. A reward is per person and goes into Format 11 per person, because the ₹15,000 total is each employee's own.</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The [TEAM / SHIFT / BRANCH] team</w:t>
      </w:r>
    </w:p>
    <w:p>
      <w:pPr>
        <w:keepNext w:val="0"/>
        <w:spacing w:after="100" w:before="0"/>
      </w:pPr>
      <w:r>
        <w:rPr>
          <w:rFonts w:ascii="Calibri" w:hAnsi="Calibri"/>
          <w:b w:val="0"/>
          <w:i w:val="0"/>
          <w:color w:val="1D1D1D"/>
          <w:sz w:val="20"/>
        </w:rPr>
        <w:t>Subject: Appreciation for [THE RESULT]</w:t>
      </w:r>
    </w:p>
    <w:p>
      <w:pPr>
        <w:keepNext w:val="0"/>
        <w:spacing w:after="100" w:before="0"/>
      </w:pPr>
      <w:r>
        <w:rPr>
          <w:rFonts w:ascii="Calibri" w:hAnsi="Calibri"/>
          <w:b w:val="0"/>
          <w:i w:val="0"/>
          <w:color w:val="1D1D1D"/>
          <w:sz w:val="20"/>
        </w:rPr>
        <w:t>Between [DATE] and [DATE], the team [WHAT THE TEAM DID], and [THE RESULT, WITH A NUMBER IF YOU HAVE ONE].</w:t>
      </w:r>
    </w:p>
    <w:p>
      <w:pPr>
        <w:keepNext w:val="0"/>
        <w:spacing w:after="100" w:before="0"/>
      </w:pPr>
      <w:r>
        <w:rPr>
          <w:rFonts w:ascii="Calibri" w:hAnsi="Calibri"/>
          <w:b w:val="0"/>
          <w:i w:val="0"/>
          <w:color w:val="1D1D1D"/>
          <w:sz w:val="20"/>
        </w:rPr>
        <w:t>This letter is for each of you: [LIST EVERY NAME].</w:t>
      </w:r>
    </w:p>
    <w:p>
      <w:pPr>
        <w:keepNext w:val="0"/>
        <w:spacing w:after="100" w:before="0"/>
      </w:pPr>
      <w:r>
        <w:rPr>
          <w:rFonts w:ascii="Calibri" w:hAnsi="Calibri"/>
          <w:b w:val="0"/>
          <w:i w:val="0"/>
          <w:color w:val="1D1D1D"/>
          <w:sz w:val="20"/>
        </w:rPr>
        <w:t>Thank you all. A copy goes on each of your personnel files.</w:t>
      </w:r>
    </w:p>
    <w:p>
      <w:pPr>
        <w:keepNext w:val="0"/>
        <w:spacing w:after="100" w:before="0"/>
      </w:pPr>
      <w:r>
        <w:rPr>
          <w:rFonts w:ascii="Calibri" w:hAnsi="Calibri"/>
          <w:b w:val="0"/>
          <w:i w:val="0"/>
          <w:color w:val="1D1D1D"/>
          <w:sz w:val="20"/>
        </w:rPr>
        <w:t>[OPTIONAL, DELETE IF NOT USED: In recognition, each member of the team receives [₹ AMOUNT / a gift voucher worth ₹ AMOUNT], a one-time award at the company's discretion.]</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04  ·  LONG-SERVICE APPRECIATION LETTER</w:t>
      </w:r>
    </w:p>
    <w:p>
      <w:pPr>
        <w:keepNext w:val="0"/>
        <w:spacing w:after="120" w:before="0"/>
        <w:ind w:left="144"/>
        <w:shd w:val="clear" w:fill="F4FAFE"/>
      </w:pPr>
      <w:r>
        <w:rPr>
          <w:rFonts w:ascii="Calibri" w:hAnsi="Calibri"/>
          <w:b w:val="0"/>
          <w:i/>
          <w:color w:val="565656"/>
          <w:sz w:val="18"/>
        </w:rPr>
        <w:t>Note for HR, delete before sending: For five, ten, fifteen or twenty years, counted from the date of joining in the appointment letter. This letter is not the gratuity. Gratuity is owed when employment ends after five years' continuous service, with the exceptions section 53 of the Code on Social Security makes, whatever this letter says.</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w:t>
      </w:r>
    </w:p>
    <w:p>
      <w:pPr>
        <w:keepNext w:val="0"/>
        <w:spacing w:after="100" w:before="0"/>
      </w:pPr>
      <w:r>
        <w:rPr>
          <w:rFonts w:ascii="Calibri" w:hAnsi="Calibri"/>
          <w:b w:val="0"/>
          <w:i w:val="0"/>
          <w:color w:val="1D1D1D"/>
          <w:sz w:val="20"/>
        </w:rPr>
        <w:t>Subject: [FIVE / TEN / FIFTEEN / TWENTY] years with [COMPANY NAME]</w:t>
      </w:r>
    </w:p>
    <w:p>
      <w:pPr>
        <w:keepNext w:val="0"/>
        <w:spacing w:after="100" w:before="0"/>
      </w:pPr>
      <w:r>
        <w:rPr>
          <w:rFonts w:ascii="Calibri" w:hAnsi="Calibri"/>
          <w:b w:val="0"/>
          <w:i w:val="0"/>
          <w:color w:val="1D1D1D"/>
          <w:sz w:val="20"/>
        </w:rPr>
        <w:t>Dear [FIRST NAME],</w:t>
      </w:r>
    </w:p>
    <w:p>
      <w:pPr>
        <w:keepNext w:val="0"/>
        <w:spacing w:after="100" w:before="0"/>
      </w:pPr>
      <w:r>
        <w:rPr>
          <w:rFonts w:ascii="Calibri" w:hAnsi="Calibri"/>
          <w:b w:val="0"/>
          <w:i w:val="0"/>
          <w:color w:val="1D1D1D"/>
          <w:sz w:val="20"/>
        </w:rPr>
        <w:t>On [DATE OF JOINING] you joined us as [FIRST DESIGNATION]. This month you complete [NUMBER] years with us.</w:t>
      </w:r>
    </w:p>
    <w:p>
      <w:pPr>
        <w:keepNext w:val="0"/>
        <w:spacing w:after="100" w:before="0"/>
      </w:pPr>
      <w:r>
        <w:rPr>
          <w:rFonts w:ascii="Calibri" w:hAnsi="Calibri"/>
          <w:b w:val="0"/>
          <w:i w:val="0"/>
          <w:color w:val="1D1D1D"/>
          <w:sz w:val="20"/>
        </w:rPr>
        <w:t>In that time you have [TWO OR THREE SPECIFIC THINGS: roles held, people trained, a project you led].</w:t>
      </w:r>
    </w:p>
    <w:p>
      <w:pPr>
        <w:keepNext w:val="0"/>
        <w:spacing w:after="100" w:before="0"/>
      </w:pPr>
      <w:r>
        <w:rPr>
          <w:rFonts w:ascii="Calibri" w:hAnsi="Calibri"/>
          <w:b w:val="0"/>
          <w:i w:val="0"/>
          <w:color w:val="1D1D1D"/>
          <w:sz w:val="20"/>
        </w:rPr>
        <w:t>Thank you for these [NUMBER] years. [OPTIONAL, DELETE IF NOT USED: As a token of our thanks, please accept [GIFT / A GIFT VOUCHER WORTH ₹ AMOUNT], at the company's discretion.]</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05  ·  EMPLOYEE OF THE MONTH SCHEME NOTICE</w:t>
      </w:r>
    </w:p>
    <w:p>
      <w:pPr>
        <w:keepNext w:val="0"/>
        <w:spacing w:after="120" w:before="0"/>
        <w:ind w:left="144"/>
        <w:shd w:val="clear" w:fill="F4FAFE"/>
      </w:pPr>
      <w:r>
        <w:rPr>
          <w:rFonts w:ascii="Calibri" w:hAnsi="Calibri"/>
          <w:b w:val="0"/>
          <w:i/>
          <w:color w:val="565656"/>
          <w:sz w:val="18"/>
        </w:rPr>
        <w:t>Note for HR, delete before sending: Put this up before the first month: it is the rulebook. Keep the word 'discretionary', the end date and the line on gender; section 2 and section 3 say why. Write the criteria in now, not after the nominations arrive.</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Subject: Employee of the Month scheme, [YEAR]</w:t>
      </w:r>
    </w:p>
    <w:p>
      <w:pPr>
        <w:keepNext w:val="0"/>
        <w:spacing w:after="100" w:before="0"/>
      </w:pPr>
      <w:r>
        <w:rPr>
          <w:rFonts w:ascii="Calibri" w:hAnsi="Calibri"/>
          <w:b w:val="0"/>
          <w:i w:val="0"/>
          <w:color w:val="1D1D1D"/>
          <w:sz w:val="20"/>
        </w:rPr>
        <w:t>From [MONTH YYYY] to [MONTH YYYY], [COMPANY NAME] will recognise one employee each month [AT EACH BRANCH / IN EACH DEPARTMENT / ACROSS THE COMPANY].</w:t>
      </w:r>
    </w:p>
    <w:p>
      <w:pPr>
        <w:keepNext w:val="0"/>
        <w:spacing w:after="100" w:before="0"/>
      </w:pPr>
      <w:r>
        <w:rPr>
          <w:rFonts w:ascii="Calibri" w:hAnsi="Calibri"/>
          <w:b w:val="0"/>
          <w:i w:val="0"/>
          <w:color w:val="1D1D1D"/>
          <w:sz w:val="20"/>
        </w:rPr>
        <w:t>Who can be nominated: every employee on the rolls for the whole month, on any shift and at any site, except members of the selection panel. A winner may be nominated again after [SIX] months.</w:t>
      </w:r>
    </w:p>
    <w:p>
      <w:pPr>
        <w:keepNext w:val="0"/>
        <w:spacing w:after="100" w:before="0"/>
      </w:pPr>
      <w:r>
        <w:rPr>
          <w:rFonts w:ascii="Calibri" w:hAnsi="Calibri"/>
          <w:b w:val="0"/>
          <w:i w:val="0"/>
          <w:color w:val="1D1D1D"/>
          <w:sz w:val="20"/>
        </w:rPr>
        <w:t>How to nominate: any manager or colleague, on the nomination form, by the [5th] of the following month.</w:t>
      </w:r>
    </w:p>
    <w:p>
      <w:pPr>
        <w:keepNext w:val="0"/>
        <w:spacing w:after="100" w:before="0"/>
      </w:pPr>
      <w:r>
        <w:rPr>
          <w:rFonts w:ascii="Calibri" w:hAnsi="Calibri"/>
          <w:b w:val="0"/>
          <w:i w:val="0"/>
          <w:color w:val="1D1D1D"/>
          <w:sz w:val="20"/>
        </w:rPr>
        <w:t>How the winner is chosen: a panel of [AT LEAST TWO: NAMES OR ROLES] scores each nominee against these criteria, and only these:</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Criterion</w:t>
            </w:r>
          </w:p>
        </w:tc>
        <w:tc>
          <w:tcPr>
            <w:tcW w:type="dxa" w:w="5616"/>
          </w:tcPr>
          <w:p>
            <w:pPr>
              <w:spacing w:after="40"/>
              <w:shd w:val="clear" w:fill="E8F4FC"/>
            </w:pPr>
            <w:r/>
            <w:r>
              <w:rPr>
                <w:rFonts w:ascii="Calibri" w:hAnsi="Calibri"/>
                <w:b/>
                <w:color w:val="0069A4"/>
                <w:sz w:val="19"/>
              </w:rPr>
              <w:t>What counts</w:t>
            </w:r>
          </w:p>
        </w:tc>
      </w:tr>
      <w:tr>
        <w:tc>
          <w:tcPr>
            <w:tcW w:type="dxa" w:w="3744"/>
          </w:tcPr>
          <w:p>
            <w:pPr>
              <w:spacing w:after="40"/>
            </w:pPr>
            <w:r/>
            <w:r>
              <w:rPr>
                <w:rFonts w:ascii="Calibri" w:hAnsi="Calibri"/>
                <w:color w:val="565656"/>
                <w:sz w:val="19"/>
              </w:rPr>
              <w:t>Quality of work</w:t>
            </w:r>
          </w:p>
        </w:tc>
        <w:tc>
          <w:tcPr>
            <w:tcW w:type="dxa" w:w="5616"/>
          </w:tcPr>
          <w:p>
            <w:pPr>
              <w:spacing w:after="40"/>
            </w:pPr>
            <w:r/>
            <w:r>
              <w:rPr>
                <w:rFonts w:ascii="Calibri" w:hAnsi="Calibri"/>
                <w:color w:val="565656"/>
                <w:sz w:val="19"/>
              </w:rPr>
              <w:t>[Define it: errors, rework, customer or patient feedback]</w:t>
            </w:r>
          </w:p>
        </w:tc>
      </w:tr>
      <w:tr>
        <w:tc>
          <w:tcPr>
            <w:tcW w:type="dxa" w:w="3744"/>
          </w:tcPr>
          <w:p>
            <w:pPr>
              <w:spacing w:after="40"/>
            </w:pPr>
            <w:r/>
            <w:r>
              <w:rPr>
                <w:rFonts w:ascii="Calibri" w:hAnsi="Calibri"/>
                <w:color w:val="565656"/>
                <w:sz w:val="19"/>
              </w:rPr>
              <w:t>Going beyond the role</w:t>
            </w:r>
          </w:p>
        </w:tc>
        <w:tc>
          <w:tcPr>
            <w:tcW w:type="dxa" w:w="5616"/>
          </w:tcPr>
          <w:p>
            <w:pPr>
              <w:spacing w:after="40"/>
            </w:pPr>
            <w:r/>
            <w:r>
              <w:rPr>
                <w:rFonts w:ascii="Calibri" w:hAnsi="Calibri"/>
                <w:color w:val="565656"/>
                <w:sz w:val="19"/>
              </w:rPr>
              <w:t>[Define it: covering a shift, training a colleague, fixing a process]</w:t>
            </w:r>
          </w:p>
        </w:tc>
      </w:tr>
      <w:tr>
        <w:tc>
          <w:tcPr>
            <w:tcW w:type="dxa" w:w="3744"/>
          </w:tcPr>
          <w:p>
            <w:pPr>
              <w:spacing w:after="40"/>
            </w:pPr>
            <w:r/>
            <w:r>
              <w:rPr>
                <w:rFonts w:ascii="Calibri" w:hAnsi="Calibri"/>
                <w:color w:val="565656"/>
                <w:sz w:val="19"/>
              </w:rPr>
              <w:t>Teamwork</w:t>
            </w:r>
          </w:p>
        </w:tc>
        <w:tc>
          <w:tcPr>
            <w:tcW w:type="dxa" w:w="5616"/>
          </w:tcPr>
          <w:p>
            <w:pPr>
              <w:spacing w:after="40"/>
            </w:pPr>
            <w:r/>
            <w:r>
              <w:rPr>
                <w:rFonts w:ascii="Calibri" w:hAnsi="Calibri"/>
                <w:color w:val="565656"/>
                <w:sz w:val="19"/>
              </w:rPr>
              <w:t>[Define it: helping another team meet a deadline]</w:t>
            </w:r>
          </w:p>
        </w:tc>
      </w:tr>
      <w:tr>
        <w:tc>
          <w:tcPr>
            <w:tcW w:type="dxa" w:w="3744"/>
          </w:tcPr>
          <w:p>
            <w:pPr>
              <w:spacing w:after="40"/>
            </w:pPr>
            <w:r/>
            <w:r>
              <w:rPr>
                <w:rFonts w:ascii="Calibri" w:hAnsi="Calibri"/>
                <w:color w:val="565656"/>
                <w:sz w:val="19"/>
              </w:rPr>
              <w:t>Reliability</w:t>
            </w:r>
          </w:p>
        </w:tc>
        <w:tc>
          <w:tcPr>
            <w:tcW w:type="dxa" w:w="5616"/>
          </w:tcPr>
          <w:p>
            <w:pPr>
              <w:spacing w:after="40"/>
            </w:pPr>
            <w:r/>
            <w:r>
              <w:rPr>
                <w:rFonts w:ascii="Calibri" w:hAnsi="Calibri"/>
                <w:color w:val="565656"/>
                <w:sz w:val="19"/>
              </w:rPr>
              <w:t>[Define it: on time and on shift. Leave the law gives, such as maternity leave, earned leave taken or a holiday, never counts against anyone]</w:t>
            </w:r>
          </w:p>
        </w:tc>
      </w:tr>
      <w:tr>
        <w:tc>
          <w:tcPr>
            <w:tcW w:type="dxa" w:w="3744"/>
          </w:tcPr>
          <w:p>
            <w:pPr>
              <w:spacing w:after="40"/>
            </w:pPr>
            <w:r/>
            <w:r>
              <w:rPr>
                <w:rFonts w:ascii="Calibri" w:hAnsi="Calibri"/>
                <w:color w:val="565656"/>
                <w:sz w:val="19"/>
              </w:rPr>
              <w:t>[YOUR OWN CRITERION]</w:t>
            </w:r>
          </w:p>
        </w:tc>
        <w:tc>
          <w:tcPr>
            <w:tcW w:type="dxa" w:w="5616"/>
          </w:tcPr>
          <w:p>
            <w:pPr>
              <w:spacing w:after="40"/>
            </w:pPr>
            <w:r/>
            <w:r>
              <w:rPr>
                <w:rFonts w:ascii="Calibri" w:hAnsi="Calibri"/>
                <w:color w:val="565656"/>
                <w:sz w:val="19"/>
              </w:rPr>
              <w:t>[Define it before the month starts]</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If two nominees tie, the panel [SHARES THE AWARD BETWEEN THEM / DECIDES ON THE 'GOING BEYOND THE ROLE' SCORE]. If no nominee meets the criteria, there is no award that month.</w:t>
      </w:r>
    </w:p>
    <w:p>
      <w:pPr>
        <w:keepNext w:val="0"/>
        <w:spacing w:after="100" w:before="0"/>
      </w:pPr>
      <w:r>
        <w:rPr>
          <w:rFonts w:ascii="Calibri" w:hAnsi="Calibri"/>
          <w:b w:val="0"/>
          <w:i w:val="0"/>
          <w:color w:val="1D1D1D"/>
          <w:sz w:val="20"/>
        </w:rPr>
        <w:t>The same criteria and the same award apply to every employee, whatever their gender.</w:t>
      </w:r>
    </w:p>
    <w:p>
      <w:pPr>
        <w:keepNext w:val="0"/>
        <w:spacing w:after="100" w:before="0"/>
      </w:pPr>
      <w:r>
        <w:rPr>
          <w:rFonts w:ascii="Calibri" w:hAnsi="Calibri"/>
          <w:b w:val="0"/>
          <w:i w:val="0"/>
          <w:color w:val="1D1D1D"/>
          <w:sz w:val="20"/>
        </w:rPr>
        <w:t>The award: a certificate [and a gift voucher worth ₹ AMOUNT / and ₹ AMOUNT paid with salary]. Awards are discretionary and are not part of anyone's wages or terms of employment. A gift voucher counts towards each employee's yearly total of gifts for income tax; a cash award is taxed as salary.</w:t>
      </w:r>
    </w:p>
    <w:p>
      <w:pPr>
        <w:keepNext w:val="0"/>
        <w:spacing w:after="100" w:before="0"/>
      </w:pPr>
      <w:r>
        <w:rPr>
          <w:rFonts w:ascii="Calibri" w:hAnsi="Calibri"/>
          <w:b w:val="0"/>
          <w:i w:val="0"/>
          <w:color w:val="1D1D1D"/>
          <w:sz w:val="20"/>
        </w:rPr>
        <w:t>The winner is announced on the notice board and the intranet. Nothing is posted outside the company without the winner's written consent.</w:t>
      </w:r>
    </w:p>
    <w:p>
      <w:pPr>
        <w:keepNext w:val="0"/>
        <w:spacing w:after="100" w:before="0"/>
      </w:pPr>
      <w:r>
        <w:rPr>
          <w:rFonts w:ascii="Calibri" w:hAnsi="Calibri"/>
          <w:b w:val="0"/>
          <w:i w:val="0"/>
          <w:color w:val="1D1D1D"/>
          <w:sz w:val="20"/>
        </w:rPr>
        <w:t>This scheme runs for the period stated above and is reviewed before it is renewed.</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Issued 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06  ·  EMPLOYEE OF THE MONTH NOMINATION FORM</w:t>
      </w:r>
    </w:p>
    <w:p>
      <w:pPr>
        <w:keepNext w:val="0"/>
        <w:spacing w:after="120" w:before="0"/>
        <w:ind w:left="144"/>
        <w:shd w:val="clear" w:fill="F4FAFE"/>
      </w:pPr>
      <w:r>
        <w:rPr>
          <w:rFonts w:ascii="Calibri" w:hAnsi="Calibri"/>
          <w:b w:val="0"/>
          <w:i/>
          <w:color w:val="565656"/>
          <w:sz w:val="18"/>
        </w:rPr>
        <w:t>Note for HR, delete before sending: Any manager or colleague fills this in by the date the scheme notice sets. Ask for facts and dates, not adjectives.</w:t>
      </w:r>
    </w:p>
    <w:p>
      <w:pPr>
        <w:keepNext w:val="0"/>
        <w:spacing w:after="120" w:before="0"/>
        <w:ind w:left="144"/>
      </w:pPr>
      <w:r>
        <w:rPr>
          <w:rFonts w:ascii="Calibri" w:hAnsi="Calibri"/>
          <w:b w:val="0"/>
          <w:i/>
          <w:color w:val="565656"/>
          <w:sz w:val="16"/>
        </w:rPr>
        <w:t>The form starts below.</w:t>
      </w:r>
    </w:p>
    <w:p>
      <w:pPr>
        <w:keepNext w:val="0"/>
        <w:spacing w:after="120" w:before="0"/>
      </w:pPr>
      <w:r>
        <w:rPr>
          <w:rFonts w:ascii="Calibri" w:hAnsi="Calibri"/>
          <w:b/>
          <w:i w:val="0"/>
          <w:color w:val="1D1D1D"/>
          <w:sz w:val="22"/>
        </w:rPr>
        <w:t>EMPLOYEE OF THE MONTH: NOMINATION</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Item</w:t>
            </w:r>
          </w:p>
        </w:tc>
        <w:tc>
          <w:tcPr>
            <w:tcW w:type="dxa" w:w="5616"/>
          </w:tcPr>
          <w:p>
            <w:pPr>
              <w:spacing w:after="40"/>
              <w:shd w:val="clear" w:fill="E8F4FC"/>
            </w:pPr>
            <w:r/>
            <w:r>
              <w:rPr>
                <w:rFonts w:ascii="Calibri" w:hAnsi="Calibri"/>
                <w:b/>
                <w:color w:val="0069A4"/>
                <w:sz w:val="19"/>
              </w:rPr>
              <w:t>Detail</w:t>
            </w:r>
          </w:p>
        </w:tc>
      </w:tr>
      <w:tr>
        <w:tc>
          <w:tcPr>
            <w:tcW w:type="dxa" w:w="3744"/>
          </w:tcPr>
          <w:p>
            <w:pPr>
              <w:spacing w:after="40"/>
            </w:pPr>
            <w:r/>
            <w:r>
              <w:rPr>
                <w:rFonts w:ascii="Calibri" w:hAnsi="Calibri"/>
                <w:color w:val="565656"/>
                <w:sz w:val="19"/>
              </w:rPr>
              <w:t>Nominee's name and employee code</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Department, branch and shift</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Month</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What they did: dates, facts, numbers</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Who it helped, and how</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Which criteria it meets (from the scheme notice)</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Nominated by: name and role</w:t>
            </w:r>
          </w:p>
        </w:tc>
        <w:tc>
          <w:tcPr>
            <w:tcW w:type="dxa" w:w="5616"/>
          </w:tcPr>
          <w:p>
            <w:pPr>
              <w:spacing w:after="40"/>
            </w:pPr>
            <w:r/>
            <w:r>
              <w:rPr>
                <w:rFonts w:ascii="Calibri" w:hAnsi="Calibri"/>
                <w:color w:val="565656"/>
                <w:sz w:val="19"/>
              </w:rPr>
            </w:r>
          </w:p>
        </w:tc>
      </w:tr>
      <w:tr>
        <w:tc>
          <w:tcPr>
            <w:tcW w:type="dxa" w:w="3744"/>
          </w:tcPr>
          <w:p>
            <w:pPr>
              <w:spacing w:after="40"/>
            </w:pPr>
            <w:r/>
            <w:r>
              <w:rPr>
                <w:rFonts w:ascii="Calibri" w:hAnsi="Calibri"/>
                <w:color w:val="565656"/>
                <w:sz w:val="19"/>
              </w:rPr>
              <w:t>Signature and date</w:t>
            </w:r>
          </w:p>
        </w:tc>
        <w:tc>
          <w:tcPr>
            <w:tcW w:type="dxa" w:w="5616"/>
          </w:tcPr>
          <w:p>
            <w:pPr>
              <w:spacing w:after="40"/>
            </w:pPr>
            <w:r/>
            <w:r>
              <w:rPr>
                <w:rFonts w:ascii="Calibri" w:hAnsi="Calibri"/>
                <w:color w:val="565656"/>
                <w:sz w:val="19"/>
              </w:rPr>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color w:val="565656"/>
          <w:sz w:val="18"/>
        </w:rPr>
        <w:t>Return to [NAME / EMAIL] by [DATE].</w:t>
      </w:r>
    </w:p>
    <w:p>
      <w:r>
        <w:br w:type="page"/>
      </w:r>
    </w:p>
    <w:p>
      <w:pPr>
        <w:pStyle w:val="Heading1"/>
        <w:keepNext/>
        <w:spacing w:after="200" w:before="80"/>
        <w:ind w:left="115"/>
        <w:shd w:val="clear" w:fill="0069A4"/>
      </w:pPr>
      <w:r>
        <w:rPr>
          <w:rFonts w:ascii="Calibri" w:hAnsi="Calibri"/>
          <w:b/>
          <w:color w:val="FFFFFF"/>
          <w:sz w:val="20"/>
        </w:rPr>
        <w:t>FORMAT 07  ·  SELECTION SCORESHEET</w:t>
      </w:r>
    </w:p>
    <w:p>
      <w:pPr>
        <w:keepNext w:val="0"/>
        <w:spacing w:after="120" w:before="0"/>
        <w:ind w:left="144"/>
        <w:shd w:val="clear" w:fill="F4FAFE"/>
      </w:pPr>
      <w:r>
        <w:rPr>
          <w:rFonts w:ascii="Calibri" w:hAnsi="Calibri"/>
          <w:b w:val="0"/>
          <w:i/>
          <w:color w:val="565656"/>
          <w:sz w:val="18"/>
        </w:rPr>
        <w:t>Note for HR, delete before sending: The panel scores each nominee against the criteria in Format 05 and nothing else. A panel member who nominated someone does not score that nominee. Keep the sheet for a year: it is your answer when someone asks why they did not win.</w:t>
      </w:r>
    </w:p>
    <w:p>
      <w:pPr>
        <w:keepNext w:val="0"/>
        <w:spacing w:after="120" w:before="0"/>
        <w:ind w:left="144"/>
      </w:pPr>
      <w:r>
        <w:rPr>
          <w:rFonts w:ascii="Calibri" w:hAnsi="Calibri"/>
          <w:b w:val="0"/>
          <w:i/>
          <w:color w:val="565656"/>
          <w:sz w:val="16"/>
        </w:rPr>
        <w:t>The scoresheet starts below.</w:t>
      </w:r>
    </w:p>
    <w:p>
      <w:pPr>
        <w:keepNext w:val="0"/>
        <w:spacing w:after="120" w:before="0"/>
      </w:pPr>
      <w:r>
        <w:rPr>
          <w:rFonts w:ascii="Calibri" w:hAnsi="Calibri"/>
          <w:b/>
          <w:i w:val="0"/>
          <w:color w:val="1D1D1D"/>
          <w:sz w:val="22"/>
        </w:rPr>
        <w:t>EMPLOYEE OF THE MONTH: SCORESHEET, [MONTH YYYY]</w:t>
      </w:r>
    </w:p>
    <w:p>
      <w:pPr>
        <w:keepNext w:val="0"/>
        <w:spacing w:after="80" w:before="0"/>
      </w:pPr>
      <w:r>
        <w:rPr>
          <w:rFonts w:ascii="Calibri" w:hAnsi="Calibri"/>
          <w:b w:val="0"/>
          <w:i w:val="0"/>
          <w:color w:val="1D1D1D"/>
          <w:sz w:val="20"/>
        </w:rPr>
        <w:t>Score each criterion from 1 to 5, against the scheme notice only.</w:t>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1728"/>
          </w:tcPr>
          <w:p>
            <w:pPr>
              <w:spacing w:after="40"/>
              <w:shd w:val="clear" w:fill="E8F4FC"/>
            </w:pPr>
            <w:r/>
            <w:r>
              <w:rPr>
                <w:rFonts w:ascii="Calibri" w:hAnsi="Calibri"/>
                <w:b/>
                <w:color w:val="0069A4"/>
                <w:sz w:val="16"/>
              </w:rPr>
              <w:t>Nominee</w:t>
            </w:r>
          </w:p>
        </w:tc>
        <w:tc>
          <w:tcPr>
            <w:tcW w:type="dxa" w:w="1008"/>
          </w:tcPr>
          <w:p>
            <w:pPr>
              <w:spacing w:after="40"/>
              <w:shd w:val="clear" w:fill="E8F4FC"/>
            </w:pPr>
            <w:r/>
            <w:r>
              <w:rPr>
                <w:rFonts w:ascii="Calibri" w:hAnsi="Calibri"/>
                <w:b/>
                <w:color w:val="0069A4"/>
                <w:sz w:val="16"/>
              </w:rPr>
              <w:t>Quality of work</w:t>
            </w:r>
          </w:p>
        </w:tc>
        <w:tc>
          <w:tcPr>
            <w:tcW w:type="dxa" w:w="1008"/>
          </w:tcPr>
          <w:p>
            <w:pPr>
              <w:spacing w:after="40"/>
              <w:shd w:val="clear" w:fill="E8F4FC"/>
            </w:pPr>
            <w:r/>
            <w:r>
              <w:rPr>
                <w:rFonts w:ascii="Calibri" w:hAnsi="Calibri"/>
                <w:b/>
                <w:color w:val="0069A4"/>
                <w:sz w:val="16"/>
              </w:rPr>
              <w:t>Going beyond the role</w:t>
            </w:r>
          </w:p>
        </w:tc>
        <w:tc>
          <w:tcPr>
            <w:tcW w:type="dxa" w:w="1008"/>
          </w:tcPr>
          <w:p>
            <w:pPr>
              <w:spacing w:after="40"/>
              <w:shd w:val="clear" w:fill="E8F4FC"/>
            </w:pPr>
            <w:r/>
            <w:r>
              <w:rPr>
                <w:rFonts w:ascii="Calibri" w:hAnsi="Calibri"/>
                <w:b/>
                <w:color w:val="0069A4"/>
                <w:sz w:val="16"/>
              </w:rPr>
              <w:t>Teamwork</w:t>
            </w:r>
          </w:p>
        </w:tc>
        <w:tc>
          <w:tcPr>
            <w:tcW w:type="dxa" w:w="1008"/>
          </w:tcPr>
          <w:p>
            <w:pPr>
              <w:spacing w:after="40"/>
              <w:shd w:val="clear" w:fill="E8F4FC"/>
            </w:pPr>
            <w:r/>
            <w:r>
              <w:rPr>
                <w:rFonts w:ascii="Calibri" w:hAnsi="Calibri"/>
                <w:b/>
                <w:color w:val="0069A4"/>
                <w:sz w:val="16"/>
              </w:rPr>
              <w:t>Reliability</w:t>
            </w:r>
          </w:p>
        </w:tc>
        <w:tc>
          <w:tcPr>
            <w:tcW w:type="dxa" w:w="1008"/>
          </w:tcPr>
          <w:p>
            <w:pPr>
              <w:spacing w:after="40"/>
              <w:shd w:val="clear" w:fill="E8F4FC"/>
            </w:pPr>
            <w:r/>
            <w:r>
              <w:rPr>
                <w:rFonts w:ascii="Calibri" w:hAnsi="Calibri"/>
                <w:b/>
                <w:color w:val="0069A4"/>
                <w:sz w:val="16"/>
              </w:rPr>
              <w:t>[YOUR OWN CRITERION]</w:t>
            </w:r>
          </w:p>
        </w:tc>
        <w:tc>
          <w:tcPr>
            <w:tcW w:type="dxa" w:w="720"/>
          </w:tcPr>
          <w:p>
            <w:pPr>
              <w:spacing w:after="40"/>
              <w:shd w:val="clear" w:fill="E8F4FC"/>
            </w:pPr>
            <w:r/>
            <w:r>
              <w:rPr>
                <w:rFonts w:ascii="Calibri" w:hAnsi="Calibri"/>
                <w:b/>
                <w:color w:val="0069A4"/>
                <w:sz w:val="16"/>
              </w:rPr>
              <w:t>Total</w:t>
            </w:r>
          </w:p>
        </w:tc>
        <w:tc>
          <w:tcPr>
            <w:tcW w:type="dxa" w:w="1584"/>
          </w:tcPr>
          <w:p>
            <w:pPr>
              <w:spacing w:after="40"/>
              <w:shd w:val="clear" w:fill="E8F4FC"/>
            </w:pPr>
            <w:r/>
            <w:r>
              <w:rPr>
                <w:rFonts w:ascii="Calibri" w:hAnsi="Calibri"/>
                <w:b/>
                <w:color w:val="0069A4"/>
                <w:sz w:val="16"/>
              </w:rPr>
              <w:t>Notes</w:t>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r>
        <w:tc>
          <w:tcPr>
            <w:tcW w:type="dxa" w:w="172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1008"/>
          </w:tcPr>
          <w:p>
            <w:pPr>
              <w:spacing w:after="40"/>
            </w:pPr>
            <w:r/>
            <w:r>
              <w:rPr>
                <w:rFonts w:ascii="Calibri" w:hAnsi="Calibri"/>
                <w:color w:val="565656"/>
                <w:sz w:val="16"/>
              </w:rPr>
            </w:r>
          </w:p>
        </w:tc>
        <w:tc>
          <w:tcPr>
            <w:tcW w:type="dxa" w:w="720"/>
          </w:tcPr>
          <w:p>
            <w:pPr>
              <w:spacing w:after="40"/>
            </w:pPr>
            <w:r/>
            <w:r>
              <w:rPr>
                <w:rFonts w:ascii="Calibri" w:hAnsi="Calibri"/>
                <w:color w:val="565656"/>
                <w:sz w:val="16"/>
              </w:rPr>
            </w:r>
          </w:p>
        </w:tc>
        <w:tc>
          <w:tcPr>
            <w:tcW w:type="dxa" w:w="1584"/>
          </w:tcPr>
          <w:p>
            <w:pPr>
              <w:spacing w:after="40"/>
            </w:pPr>
            <w:r/>
            <w:r>
              <w:rPr>
                <w:rFonts w:ascii="Calibri" w:hAnsi="Calibri"/>
                <w:color w:val="565656"/>
                <w:sz w:val="16"/>
              </w:rPr>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Panel: [NAME, ROLE] ______________     [NAME, ROLE] ______________</w:t>
      </w:r>
    </w:p>
    <w:p>
      <w:pPr>
        <w:keepNext w:val="0"/>
        <w:spacing w:after="120" w:before="0"/>
      </w:pPr>
      <w:r>
        <w:rPr>
          <w:rFonts w:ascii="Calibri" w:hAnsi="Calibri"/>
          <w:b w:val="0"/>
          <w:i w:val="0"/>
          <w:color w:val="1D1D1D"/>
          <w:sz w:val="20"/>
        </w:rPr>
        <w:t>Winner: [NAME]     Date: [DD-MMM-YYYY]</w:t>
      </w:r>
    </w:p>
    <w:p>
      <w:pPr>
        <w:keepNext w:val="0"/>
        <w:spacing w:after="120" w:before="0"/>
      </w:pPr>
      <w:r>
        <w:rPr>
          <w:rFonts w:ascii="Calibri" w:hAnsi="Calibri"/>
          <w:b w:val="0"/>
          <w:i/>
          <w:color w:val="565656"/>
          <w:sz w:val="18"/>
        </w:rPr>
        <w:t>A panel member who nominated someone does not score that nominee. Keep this sheet for one year.</w:t>
      </w:r>
    </w:p>
    <w:p>
      <w:r>
        <w:br w:type="page"/>
      </w:r>
    </w:p>
    <w:p>
      <w:pPr>
        <w:pStyle w:val="Heading1"/>
        <w:keepNext/>
        <w:spacing w:after="200" w:before="80"/>
        <w:ind w:left="115"/>
        <w:shd w:val="clear" w:fill="0069A4"/>
      </w:pPr>
      <w:r>
        <w:rPr>
          <w:rFonts w:ascii="Calibri" w:hAnsi="Calibri"/>
          <w:b/>
          <w:color w:val="FFFFFF"/>
          <w:sz w:val="20"/>
        </w:rPr>
        <w:t>FORMAT 08  ·  WINNER ANNOUNCEMENT</w:t>
      </w:r>
    </w:p>
    <w:p>
      <w:pPr>
        <w:keepNext w:val="0"/>
        <w:spacing w:after="120" w:before="0"/>
        <w:ind w:left="144"/>
        <w:shd w:val="clear" w:fill="F4FAFE"/>
      </w:pPr>
      <w:r>
        <w:rPr>
          <w:rFonts w:ascii="Calibri" w:hAnsi="Calibri"/>
          <w:b w:val="0"/>
          <w:i/>
          <w:color w:val="565656"/>
          <w:sz w:val="18"/>
        </w:rPr>
        <w:t>Note for HR, delete before sending: For the notice board and the intranet. Anything outside the company waits for Format 10.</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Subject: Employee of the Month, [MONTH YYYY]</w:t>
      </w:r>
    </w:p>
    <w:p>
      <w:pPr>
        <w:keepNext w:val="0"/>
        <w:spacing w:after="100" w:before="0"/>
      </w:pPr>
      <w:r>
        <w:rPr>
          <w:rFonts w:ascii="Calibri" w:hAnsi="Calibri"/>
          <w:b w:val="0"/>
          <w:i w:val="0"/>
          <w:color w:val="1D1D1D"/>
          <w:sz w:val="20"/>
        </w:rPr>
        <w:t>[COMPANY NAME] is pleased to announce that [NAME], [DESIGNATION], [DEPARTMENT / BRANCH], is Employee of the Month for [MONTH YYYY].</w:t>
      </w:r>
    </w:p>
    <w:p>
      <w:pPr>
        <w:keepNext w:val="0"/>
        <w:spacing w:after="100" w:before="0"/>
      </w:pPr>
      <w:r>
        <w:rPr>
          <w:rFonts w:ascii="Calibri" w:hAnsi="Calibri"/>
          <w:b w:val="0"/>
          <w:i w:val="0"/>
          <w:color w:val="1D1D1D"/>
          <w:sz w:val="20"/>
        </w:rPr>
        <w:t>[NAME] [ONE OR TWO SENTENCES: WHAT THEY DID AND THE RESULT].</w:t>
      </w:r>
    </w:p>
    <w:p>
      <w:pPr>
        <w:keepNext w:val="0"/>
        <w:spacing w:after="100" w:before="0"/>
      </w:pPr>
      <w:r>
        <w:rPr>
          <w:rFonts w:ascii="Calibri" w:hAnsi="Calibri"/>
          <w:b w:val="0"/>
          <w:i w:val="0"/>
          <w:color w:val="1D1D1D"/>
          <w:sz w:val="20"/>
        </w:rPr>
        <w:t>[NUMBER] colleagues were nominated this month. Thank you to everyone who nominated, and congratulations to all of them.</w:t>
      </w:r>
    </w:p>
    <w:p>
      <w:pPr>
        <w:keepNext w:val="0"/>
        <w:spacing w:after="100" w:before="0"/>
      </w:pPr>
      <w:r>
        <w:rPr>
          <w:rFonts w:ascii="Calibri" w:hAnsi="Calibri"/>
          <w:b w:val="0"/>
          <w:i w:val="0"/>
          <w:color w:val="1D1D1D"/>
          <w:sz w:val="20"/>
        </w:rPr>
        <w:t>Nominations for [NEXT MONTH] close on [DATE].</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Issued 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09  ·  CERTIFICATE OF APPRECIATION</w:t>
      </w:r>
    </w:p>
    <w:p>
      <w:pPr>
        <w:keepNext w:val="0"/>
        <w:spacing w:after="120" w:before="0"/>
        <w:ind w:left="144"/>
        <w:shd w:val="clear" w:fill="F4FAFE"/>
      </w:pPr>
      <w:r>
        <w:rPr>
          <w:rFonts w:ascii="Calibri" w:hAnsi="Calibri"/>
          <w:b w:val="0"/>
          <w:i/>
          <w:color w:val="565656"/>
          <w:sz w:val="18"/>
        </w:rPr>
        <w:t>Note for HR, delete before sending: Print on card. One line on why, signed by two people, one of them senior.</w:t>
      </w:r>
    </w:p>
    <w:p>
      <w:pPr>
        <w:keepNext w:val="0"/>
        <w:spacing w:after="120" w:before="0"/>
        <w:ind w:left="144"/>
      </w:pPr>
      <w:r>
        <w:rPr>
          <w:rFonts w:ascii="Calibri" w:hAnsi="Calibri"/>
          <w:b w:val="0"/>
          <w:i/>
          <w:color w:val="565656"/>
          <w:sz w:val="16"/>
        </w:rPr>
        <w:t>The certificate starts below.</w:t>
      </w:r>
    </w:p>
    <w:p>
      <w:pPr>
        <w:keepNext w:val="0"/>
        <w:spacing w:after="600" w:before="0"/>
      </w:pPr>
      <w:r>
        <w:rPr>
          <w:rFonts w:ascii="Calibri" w:hAnsi="Calibri"/>
          <w:b w:val="0"/>
          <w:i w:val="0"/>
          <w:color w:val="1D1D1D"/>
          <w:sz w:val="21"/>
        </w:rPr>
      </w:r>
    </w:p>
    <w:p>
      <w:pPr>
        <w:keepNext w:val="0"/>
        <w:spacing w:after="160" w:before="0"/>
      </w:pPr>
      <w:r>
        <w:rPr>
          <w:rFonts w:ascii="Calibri" w:hAnsi="Calibri"/>
          <w:b/>
          <w:i w:val="0"/>
          <w:color w:val="0069A4"/>
          <w:sz w:val="44"/>
        </w:rPr>
        <w:t>CERTIFICATE OF APPRECIATION</w:t>
      </w:r>
    </w:p>
    <w:p>
      <w:pPr>
        <w:keepNext w:val="0"/>
        <w:spacing w:after="360" w:before="0"/>
      </w:pPr>
      <w:r>
        <w:rPr>
          <w:rFonts w:ascii="Calibri" w:hAnsi="Calibri"/>
          <w:b w:val="0"/>
          <w:i w:val="0"/>
          <w:color w:val="1D1D1D"/>
          <w:sz w:val="28"/>
        </w:rPr>
        <w:t>Employee of the Month, [MONTH YYYY]</w:t>
      </w:r>
    </w:p>
    <w:p>
      <w:pPr>
        <w:keepNext w:val="0"/>
        <w:spacing w:after="80" w:before="0"/>
      </w:pPr>
      <w:r>
        <w:rPr>
          <w:rFonts w:ascii="Calibri" w:hAnsi="Calibri"/>
          <w:b w:val="0"/>
          <w:i w:val="0"/>
          <w:color w:val="565656"/>
          <w:sz w:val="22"/>
        </w:rPr>
        <w:t>Presented to</w:t>
      </w:r>
    </w:p>
    <w:p>
      <w:pPr>
        <w:keepNext w:val="0"/>
        <w:spacing w:after="80" w:before="0"/>
      </w:pPr>
      <w:r>
        <w:rPr>
          <w:rFonts w:ascii="Calibri" w:hAnsi="Calibri"/>
          <w:b/>
          <w:i w:val="0"/>
          <w:color w:val="1D1D1D"/>
          <w:sz w:val="36"/>
        </w:rPr>
        <w:t>[NAME]</w:t>
      </w:r>
    </w:p>
    <w:p>
      <w:pPr>
        <w:keepNext w:val="0"/>
        <w:spacing w:after="280" w:before="0"/>
      </w:pPr>
      <w:r>
        <w:rPr>
          <w:rFonts w:ascii="Calibri" w:hAnsi="Calibri"/>
          <w:b w:val="0"/>
          <w:i w:val="0"/>
          <w:color w:val="1D1D1D"/>
          <w:sz w:val="22"/>
        </w:rPr>
        <w:t>[DESIGNATION], [DEPARTMENT / BRANCH], [COMPANY NAME]</w:t>
      </w:r>
    </w:p>
    <w:p>
      <w:pPr>
        <w:keepNext w:val="0"/>
        <w:spacing w:after="800" w:before="0"/>
      </w:pPr>
      <w:r>
        <w:rPr>
          <w:rFonts w:ascii="Calibri" w:hAnsi="Calibri"/>
          <w:b w:val="0"/>
          <w:i/>
          <w:color w:val="1D1D1D"/>
          <w:sz w:val="24"/>
        </w:rPr>
        <w:t>For [ONE LINE: WHAT THEY DID]</w:t>
      </w:r>
    </w:p>
    <w:p>
      <w:pPr>
        <w:keepNext w:val="0"/>
        <w:spacing w:after="40" w:before="0"/>
      </w:pPr>
      <w:r>
        <w:rPr>
          <w:rFonts w:ascii="Calibri" w:hAnsi="Calibri"/>
          <w:b w:val="0"/>
          <w:i w:val="0"/>
          <w:color w:val="1D1D1D"/>
          <w:sz w:val="20"/>
        </w:rPr>
        <w:t>______________________          ______________________</w:t>
      </w:r>
    </w:p>
    <w:p>
      <w:pPr>
        <w:keepNext w:val="0"/>
        <w:spacing w:after="120" w:before="0"/>
      </w:pPr>
      <w:r>
        <w:rPr>
          <w:rFonts w:ascii="Calibri" w:hAnsi="Calibri"/>
          <w:b w:val="0"/>
          <w:i w:val="0"/>
          <w:color w:val="1D1D1D"/>
          <w:sz w:val="20"/>
        </w:rPr>
        <w:t>[NAME, DESIGNATION]                  [NAME, DESIGNATION]</w:t>
      </w:r>
    </w:p>
    <w:p>
      <w:r>
        <w:br w:type="page"/>
      </w:r>
    </w:p>
    <w:p>
      <w:pPr>
        <w:pStyle w:val="Heading1"/>
        <w:keepNext/>
        <w:spacing w:after="200" w:before="80"/>
        <w:ind w:left="115"/>
        <w:shd w:val="clear" w:fill="0069A4"/>
      </w:pPr>
      <w:r>
        <w:rPr>
          <w:rFonts w:ascii="Calibri" w:hAnsi="Calibri"/>
          <w:b/>
          <w:color w:val="FFFFFF"/>
          <w:sz w:val="20"/>
        </w:rPr>
        <w:t>FORMAT 10  ·  CONSENT TO SHARE NAME AND PHOTO OUTSIDE THE COMPANY</w:t>
      </w:r>
    </w:p>
    <w:p>
      <w:pPr>
        <w:keepNext w:val="0"/>
        <w:spacing w:after="120" w:before="0"/>
        <w:ind w:left="144"/>
        <w:shd w:val="clear" w:fill="F4FAFE"/>
      </w:pPr>
      <w:r>
        <w:rPr>
          <w:rFonts w:ascii="Calibri" w:hAnsi="Calibri"/>
          <w:b w:val="0"/>
          <w:i/>
          <w:color w:val="565656"/>
          <w:sz w:val="18"/>
        </w:rPr>
        <w:t>Note for HR, delete before sending: Only for public posts: LinkedIn, Instagram, the website, a newsletter or a press note. Hand it over after the award is decided, never as a condition of it. Keep the signed copy, because you must be able to prove the consent (DPDP Act s.6(10)). A complaint comes to you first; the employee goes to the Data Protection Board only after your route is exhausted (s.13(3)). For a winner under eighteen, the parent or guardian's consent must be verifiable (s.9(1)): check who signs.</w:t>
      </w:r>
    </w:p>
    <w:p>
      <w:pPr>
        <w:keepNext w:val="0"/>
        <w:spacing w:after="120" w:before="0"/>
        <w:ind w:left="144"/>
      </w:pPr>
      <w:r>
        <w:rPr>
          <w:rFonts w:ascii="Calibri" w:hAnsi="Calibri"/>
          <w:b w:val="0"/>
          <w:i/>
          <w:color w:val="565656"/>
          <w:sz w:val="16"/>
        </w:rPr>
        <w:t>The form starts below.</w:t>
      </w:r>
    </w:p>
    <w:p>
      <w:pPr>
        <w:keepNext w:val="0"/>
        <w:spacing w:after="200" w:before="0"/>
      </w:pPr>
      <w:r>
        <w:rPr>
          <w:rFonts w:ascii="Calibri" w:hAnsi="Calibri"/>
          <w:b w:val="0"/>
          <w:i w:val="0"/>
          <w:color w:val="565656"/>
          <w:sz w:val="18"/>
        </w:rPr>
        <w:t>[COMPANY LETTERHEAD]</w:t>
      </w:r>
    </w:p>
    <w:p>
      <w:pPr>
        <w:keepNext w:val="0"/>
        <w:spacing w:after="120" w:before="0"/>
      </w:pPr>
      <w:r>
        <w:rPr>
          <w:rFonts w:ascii="Calibri" w:hAnsi="Calibri"/>
          <w:b/>
          <w:i w:val="0"/>
          <w:color w:val="1D1D1D"/>
          <w:sz w:val="22"/>
        </w:rPr>
        <w:t>CONSENT TO SHARE MY NAME AND PHOTO OUTSIDE THE COMPANY</w:t>
      </w:r>
    </w:p>
    <w:p>
      <w:pPr>
        <w:keepNext w:val="0"/>
        <w:spacing w:after="100" w:before="0"/>
      </w:pPr>
      <w:r>
        <w:rPr>
          <w:rFonts w:ascii="Calibri" w:hAnsi="Calibri"/>
          <w:b w:val="0"/>
          <w:i w:val="0"/>
          <w:color w:val="1D1D1D"/>
          <w:sz w:val="20"/>
        </w:rPr>
        <w:t>To: [EMPLOYEE NAME], [DESIGNATION]</w:t>
      </w:r>
    </w:p>
    <w:p>
      <w:pPr>
        <w:keepNext w:val="0"/>
        <w:spacing w:after="100" w:before="0"/>
      </w:pPr>
      <w:r>
        <w:rPr>
          <w:rFonts w:ascii="Calibri" w:hAnsi="Calibri"/>
          <w:b w:val="0"/>
          <w:i w:val="0"/>
          <w:color w:val="1D1D1D"/>
          <w:sz w:val="20"/>
        </w:rPr>
        <w:t>What we would like to share: your name, designation, branch, photograph and the reason for your award.</w:t>
      </w:r>
    </w:p>
    <w:p>
      <w:pPr>
        <w:keepNext w:val="0"/>
        <w:spacing w:after="100" w:before="0"/>
      </w:pPr>
      <w:r>
        <w:rPr>
          <w:rFonts w:ascii="Calibri" w:hAnsi="Calibri"/>
          <w:b w:val="0"/>
          <w:i w:val="0"/>
          <w:color w:val="1D1D1D"/>
          <w:sz w:val="20"/>
        </w:rPr>
        <w:t>Why: to recognise your award in public. For nothing else.</w:t>
      </w:r>
    </w:p>
    <w:p>
      <w:pPr>
        <w:keepNext w:val="0"/>
        <w:spacing w:after="100" w:before="0"/>
      </w:pPr>
      <w:r>
        <w:rPr>
          <w:rFonts w:ascii="Calibri" w:hAnsi="Calibri"/>
          <w:b w:val="0"/>
          <w:i w:val="0"/>
          <w:color w:val="1D1D1D"/>
          <w:sz w:val="20"/>
        </w:rPr>
        <w:t>Where: tick only the places you agree to.</w:t>
      </w:r>
    </w:p>
    <w:tbl>
      <w:tblPr>
        <w:tblStyle w:val="TableGrid"/>
        <w:tblW w:type="auto" w:w="0"/>
        <w:tblLook w:firstColumn="1" w:firstRow="1" w:lastColumn="0" w:lastRow="0" w:noHBand="0" w:noVBand="1" w:val="04A0"/>
      </w:tblPr>
      <w:tblGrid>
        <w:gridCol w:w="4824"/>
        <w:gridCol w:w="4824"/>
      </w:tblGrid>
      <w:tr>
        <w:tc>
          <w:tcPr>
            <w:tcW w:type="dxa" w:w="6480"/>
          </w:tcPr>
          <w:p>
            <w:pPr>
              <w:spacing w:after="40"/>
              <w:shd w:val="clear" w:fill="E8F4FC"/>
            </w:pPr>
            <w:r/>
            <w:r>
              <w:rPr>
                <w:rFonts w:ascii="Calibri" w:hAnsi="Calibri"/>
                <w:b/>
                <w:color w:val="0069A4"/>
                <w:sz w:val="19"/>
              </w:rPr>
              <w:t>Where</w:t>
            </w:r>
          </w:p>
        </w:tc>
        <w:tc>
          <w:tcPr>
            <w:tcW w:type="dxa" w:w="2880"/>
          </w:tcPr>
          <w:p>
            <w:pPr>
              <w:spacing w:after="40"/>
              <w:shd w:val="clear" w:fill="E8F4FC"/>
            </w:pPr>
            <w:r/>
            <w:r>
              <w:rPr>
                <w:rFonts w:ascii="Calibri" w:hAnsi="Calibri"/>
                <w:b/>
                <w:color w:val="0069A4"/>
                <w:sz w:val="19"/>
              </w:rPr>
              <w:t>I agree (tick)</w:t>
            </w:r>
          </w:p>
        </w:tc>
      </w:tr>
      <w:tr>
        <w:tc>
          <w:tcPr>
            <w:tcW w:type="dxa" w:w="6480"/>
          </w:tcPr>
          <w:p>
            <w:pPr>
              <w:spacing w:after="40"/>
            </w:pPr>
            <w:r/>
            <w:r>
              <w:rPr>
                <w:rFonts w:ascii="Calibri" w:hAnsi="Calibri"/>
                <w:color w:val="565656"/>
                <w:sz w:val="19"/>
              </w:rPr>
              <w:t>LinkedIn</w:t>
            </w:r>
          </w:p>
        </w:tc>
        <w:tc>
          <w:tcPr>
            <w:tcW w:type="dxa" w:w="2880"/>
          </w:tcPr>
          <w:p>
            <w:pPr>
              <w:spacing w:after="40"/>
            </w:pPr>
            <w:r/>
            <w:r>
              <w:rPr>
                <w:rFonts w:ascii="Calibri" w:hAnsi="Calibri"/>
                <w:color w:val="565656"/>
                <w:sz w:val="19"/>
              </w:rPr>
              <w:t>[  ]</w:t>
            </w:r>
          </w:p>
        </w:tc>
      </w:tr>
      <w:tr>
        <w:tc>
          <w:tcPr>
            <w:tcW w:type="dxa" w:w="6480"/>
          </w:tcPr>
          <w:p>
            <w:pPr>
              <w:spacing w:after="40"/>
            </w:pPr>
            <w:r/>
            <w:r>
              <w:rPr>
                <w:rFonts w:ascii="Calibri" w:hAnsi="Calibri"/>
                <w:color w:val="565656"/>
                <w:sz w:val="19"/>
              </w:rPr>
              <w:t>Instagram</w:t>
            </w:r>
          </w:p>
        </w:tc>
        <w:tc>
          <w:tcPr>
            <w:tcW w:type="dxa" w:w="2880"/>
          </w:tcPr>
          <w:p>
            <w:pPr>
              <w:spacing w:after="40"/>
            </w:pPr>
            <w:r/>
            <w:r>
              <w:rPr>
                <w:rFonts w:ascii="Calibri" w:hAnsi="Calibri"/>
                <w:color w:val="565656"/>
                <w:sz w:val="19"/>
              </w:rPr>
              <w:t>[  ]</w:t>
            </w:r>
          </w:p>
        </w:tc>
      </w:tr>
      <w:tr>
        <w:tc>
          <w:tcPr>
            <w:tcW w:type="dxa" w:w="6480"/>
          </w:tcPr>
          <w:p>
            <w:pPr>
              <w:spacing w:after="40"/>
            </w:pPr>
            <w:r/>
            <w:r>
              <w:rPr>
                <w:rFonts w:ascii="Calibri" w:hAnsi="Calibri"/>
                <w:color w:val="565656"/>
                <w:sz w:val="19"/>
              </w:rPr>
              <w:t>Company website</w:t>
            </w:r>
          </w:p>
        </w:tc>
        <w:tc>
          <w:tcPr>
            <w:tcW w:type="dxa" w:w="2880"/>
          </w:tcPr>
          <w:p>
            <w:pPr>
              <w:spacing w:after="40"/>
            </w:pPr>
            <w:r/>
            <w:r>
              <w:rPr>
                <w:rFonts w:ascii="Calibri" w:hAnsi="Calibri"/>
                <w:color w:val="565656"/>
                <w:sz w:val="19"/>
              </w:rPr>
              <w:t>[  ]</w:t>
            </w:r>
          </w:p>
        </w:tc>
      </w:tr>
      <w:tr>
        <w:tc>
          <w:tcPr>
            <w:tcW w:type="dxa" w:w="6480"/>
          </w:tcPr>
          <w:p>
            <w:pPr>
              <w:spacing w:after="40"/>
            </w:pPr>
            <w:r/>
            <w:r>
              <w:rPr>
                <w:rFonts w:ascii="Calibri" w:hAnsi="Calibri"/>
                <w:color w:val="565656"/>
                <w:sz w:val="19"/>
              </w:rPr>
              <w:t>External newsletter or press note</w:t>
            </w:r>
          </w:p>
        </w:tc>
        <w:tc>
          <w:tcPr>
            <w:tcW w:type="dxa" w:w="2880"/>
          </w:tcPr>
          <w:p>
            <w:pPr>
              <w:spacing w:after="40"/>
            </w:pPr>
            <w:r/>
            <w:r>
              <w:rPr>
                <w:rFonts w:ascii="Calibri" w:hAnsi="Calibri"/>
                <w:color w:val="565656"/>
                <w:sz w:val="19"/>
              </w:rPr>
              <w:t>[  ]</w:t>
            </w:r>
          </w:p>
        </w:tc>
      </w:tr>
      <w:tr>
        <w:tc>
          <w:tcPr>
            <w:tcW w:type="dxa" w:w="6480"/>
          </w:tcPr>
          <w:p>
            <w:pPr>
              <w:spacing w:after="40"/>
            </w:pPr>
            <w:r/>
            <w:r>
              <w:rPr>
                <w:rFonts w:ascii="Calibri" w:hAnsi="Calibri"/>
                <w:color w:val="565656"/>
                <w:sz w:val="19"/>
              </w:rPr>
              <w:t>[OTHER]</w:t>
            </w:r>
          </w:p>
        </w:tc>
        <w:tc>
          <w:tcPr>
            <w:tcW w:type="dxa" w:w="2880"/>
          </w:tcPr>
          <w:p>
            <w:pPr>
              <w:spacing w:after="40"/>
            </w:pPr>
            <w:r/>
            <w:r>
              <w:rPr>
                <w:rFonts w:ascii="Calibri" w:hAnsi="Calibri"/>
                <w:color w:val="565656"/>
                <w:sz w:val="19"/>
              </w:rPr>
              <w:t>[  ]</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Your award does not depend on this. If you do not sign, or tick nothing, you keep the award and the certificate exactly as they are.</w:t>
      </w:r>
    </w:p>
    <w:p>
      <w:pPr>
        <w:keepNext w:val="0"/>
        <w:spacing w:after="100" w:before="0"/>
      </w:pPr>
      <w:r>
        <w:rPr>
          <w:rFonts w:ascii="Calibri" w:hAnsi="Calibri"/>
          <w:b w:val="0"/>
          <w:i w:val="0"/>
          <w:color w:val="1D1D1D"/>
          <w:sz w:val="20"/>
        </w:rPr>
        <w:t>You can withdraw this consent at any time, as easily as you gave it, by writing to [NAME / EMAIL]. We will take the posts down within [SEVEN] days.</w:t>
      </w:r>
    </w:p>
    <w:p>
      <w:pPr>
        <w:keepNext w:val="0"/>
        <w:spacing w:after="100" w:before="0"/>
      </w:pPr>
      <w:r>
        <w:rPr>
          <w:rFonts w:ascii="Calibri" w:hAnsi="Calibri"/>
          <w:b w:val="0"/>
          <w:i w:val="0"/>
          <w:color w:val="1D1D1D"/>
          <w:sz w:val="20"/>
        </w:rPr>
        <w:t>If you have a complaint about how we use your data, write to [GRIEVANCE CONTACT] first. If we do not resolve it, you can then complain to the Data Protection Board of India.</w:t>
      </w:r>
    </w:p>
    <w:p>
      <w:pPr>
        <w:keepNext w:val="0"/>
        <w:spacing w:after="100" w:before="0"/>
      </w:pPr>
      <w:r>
        <w:rPr>
          <w:rFonts w:ascii="Calibri" w:hAnsi="Calibri"/>
          <w:b w:val="0"/>
          <w:i w:val="0"/>
          <w:color w:val="1D1D1D"/>
          <w:sz w:val="20"/>
        </w:rPr>
        <w:t>I agree to the uses ticked above.</w:t>
      </w:r>
    </w:p>
    <w:p>
      <w:pPr>
        <w:keepNext w:val="0"/>
        <w:spacing w:after="100" w:before="0"/>
      </w:pPr>
      <w:r>
        <w:rPr>
          <w:rFonts w:ascii="Calibri" w:hAnsi="Calibri"/>
          <w:b w:val="0"/>
          <w:i w:val="0"/>
          <w:color w:val="1D1D1D"/>
          <w:sz w:val="20"/>
        </w:rPr>
        <w:t>If you are under eighteen: your parent or guardian must also sign below, and we will check who they are before anything is posted.</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Name: ______________________   Signature: ______________   Date: ______________</w:t>
      </w:r>
    </w:p>
    <w:p>
      <w:pPr>
        <w:keepNext w:val="0"/>
        <w:spacing w:after="120" w:before="0"/>
      </w:pPr>
      <w:r>
        <w:rPr>
          <w:rFonts w:ascii="Calibri" w:hAnsi="Calibri"/>
          <w:b w:val="0"/>
          <w:i w:val="0"/>
          <w:color w:val="1D1D1D"/>
          <w:sz w:val="20"/>
        </w:rPr>
        <w:t>Parent or guardian, if under eighteen: Name: ______________   Relationship: __________   Signature: __________</w:t>
      </w:r>
    </w:p>
    <w:p>
      <w:r>
        <w:br w:type="page"/>
      </w:r>
    </w:p>
    <w:p>
      <w:pPr>
        <w:pStyle w:val="Heading1"/>
        <w:keepNext/>
        <w:spacing w:after="200" w:before="80"/>
        <w:ind w:left="115"/>
        <w:shd w:val="clear" w:fill="0069A4"/>
      </w:pPr>
      <w:r>
        <w:rPr>
          <w:rFonts w:ascii="Calibri" w:hAnsi="Calibri"/>
          <w:b/>
          <w:color w:val="FFFFFF"/>
          <w:sz w:val="20"/>
        </w:rPr>
        <w:t>FORMAT 11  ·  REWARD REGISTER</w:t>
      </w:r>
    </w:p>
    <w:p>
      <w:pPr>
        <w:keepNext w:val="0"/>
        <w:spacing w:after="120" w:before="0"/>
        <w:ind w:left="144"/>
        <w:shd w:val="clear" w:fill="F4FAFE"/>
      </w:pPr>
      <w:r>
        <w:rPr>
          <w:rFonts w:ascii="Calibri" w:hAnsi="Calibri"/>
          <w:b w:val="0"/>
          <w:i/>
          <w:color w:val="565656"/>
          <w:sz w:val="18"/>
        </w:rPr>
        <w:t>Note for HR, delete before sending: One row per reward. The column 'Gifts and vouchers this tax year' is the running total that decides the tax: below ₹15,000, nil; at ₹15,000 or more, all of it. Start the running total again on 1 April, when the tax year starts. Send each cash row to payroll for the month it is paid.</w:t>
      </w:r>
    </w:p>
    <w:p>
      <w:pPr>
        <w:keepNext w:val="0"/>
        <w:spacing w:after="120" w:before="0"/>
        <w:ind w:left="144"/>
      </w:pPr>
      <w:r>
        <w:rPr>
          <w:rFonts w:ascii="Calibri" w:hAnsi="Calibri"/>
          <w:b w:val="0"/>
          <w:i/>
          <w:color w:val="565656"/>
          <w:sz w:val="16"/>
        </w:rPr>
        <w:t>The register starts below.</w:t>
      </w:r>
    </w:p>
    <w:tbl>
      <w:tblPr>
        <w:tblStyle w:val="TableGrid"/>
        <w:tblW w:type="auto" w:w="0"/>
        <w:tblLook w:firstColumn="1" w:firstRow="1" w:lastColumn="0" w:lastRow="0" w:noHBand="0" w:noVBand="1" w:val="04A0"/>
      </w:tblPr>
      <w:tblGrid>
        <w:gridCol w:w="1072"/>
        <w:gridCol w:w="1072"/>
        <w:gridCol w:w="1072"/>
        <w:gridCol w:w="1072"/>
        <w:gridCol w:w="1072"/>
        <w:gridCol w:w="1072"/>
        <w:gridCol w:w="1072"/>
        <w:gridCol w:w="1072"/>
        <w:gridCol w:w="1072"/>
      </w:tblGrid>
      <w:tr>
        <w:tc>
          <w:tcPr>
            <w:tcW w:type="dxa" w:w="864"/>
          </w:tcPr>
          <w:p>
            <w:pPr>
              <w:spacing w:after="40"/>
              <w:shd w:val="clear" w:fill="E8F4FC"/>
            </w:pPr>
            <w:r/>
            <w:r>
              <w:rPr>
                <w:rFonts w:ascii="Calibri" w:hAnsi="Calibri"/>
                <w:b/>
                <w:color w:val="0069A4"/>
                <w:sz w:val="15"/>
              </w:rPr>
              <w:t>Date</w:t>
            </w:r>
          </w:p>
        </w:tc>
        <w:tc>
          <w:tcPr>
            <w:tcW w:type="dxa" w:w="1296"/>
          </w:tcPr>
          <w:p>
            <w:pPr>
              <w:spacing w:after="40"/>
              <w:shd w:val="clear" w:fill="E8F4FC"/>
            </w:pPr>
            <w:r/>
            <w:r>
              <w:rPr>
                <w:rFonts w:ascii="Calibri" w:hAnsi="Calibri"/>
                <w:b/>
                <w:color w:val="0069A4"/>
                <w:sz w:val="15"/>
              </w:rPr>
              <w:t>Employee and code</w:t>
            </w:r>
          </w:p>
        </w:tc>
        <w:tc>
          <w:tcPr>
            <w:tcW w:type="dxa" w:w="1296"/>
          </w:tcPr>
          <w:p>
            <w:pPr>
              <w:spacing w:after="40"/>
              <w:shd w:val="clear" w:fill="E8F4FC"/>
            </w:pPr>
            <w:r/>
            <w:r>
              <w:rPr>
                <w:rFonts w:ascii="Calibri" w:hAnsi="Calibri"/>
                <w:b/>
                <w:color w:val="0069A4"/>
                <w:sz w:val="15"/>
              </w:rPr>
              <w:t>Reward: letter / certificate / cash / gift / voucher</w:t>
            </w:r>
          </w:p>
        </w:tc>
        <w:tc>
          <w:tcPr>
            <w:tcW w:type="dxa" w:w="864"/>
          </w:tcPr>
          <w:p>
            <w:pPr>
              <w:spacing w:after="40"/>
              <w:shd w:val="clear" w:fill="E8F4FC"/>
            </w:pPr>
            <w:r/>
            <w:r>
              <w:rPr>
                <w:rFonts w:ascii="Calibri" w:hAnsi="Calibri"/>
                <w:b/>
                <w:color w:val="0069A4"/>
                <w:sz w:val="15"/>
              </w:rPr>
              <w:t>Value ₹</w:t>
            </w:r>
          </w:p>
        </w:tc>
        <w:tc>
          <w:tcPr>
            <w:tcW w:type="dxa" w:w="1296"/>
          </w:tcPr>
          <w:p>
            <w:pPr>
              <w:spacing w:after="40"/>
              <w:shd w:val="clear" w:fill="E8F4FC"/>
            </w:pPr>
            <w:r/>
            <w:r>
              <w:rPr>
                <w:rFonts w:ascii="Calibri" w:hAnsi="Calibri"/>
                <w:b/>
                <w:color w:val="0069A4"/>
                <w:sz w:val="15"/>
              </w:rPr>
              <w:t>Reason</w:t>
            </w:r>
          </w:p>
        </w:tc>
        <w:tc>
          <w:tcPr>
            <w:tcW w:type="dxa" w:w="1152"/>
          </w:tcPr>
          <w:p>
            <w:pPr>
              <w:spacing w:after="40"/>
              <w:shd w:val="clear" w:fill="E8F4FC"/>
            </w:pPr>
            <w:r/>
            <w:r>
              <w:rPr>
                <w:rFonts w:ascii="Calibri" w:hAnsi="Calibri"/>
                <w:b/>
                <w:color w:val="0069A4"/>
                <w:sz w:val="15"/>
              </w:rPr>
              <w:t>Gifts and vouchers this tax year ₹</w:t>
            </w:r>
          </w:p>
        </w:tc>
        <w:tc>
          <w:tcPr>
            <w:tcW w:type="dxa" w:w="864"/>
          </w:tcPr>
          <w:p>
            <w:pPr>
              <w:spacing w:after="40"/>
              <w:shd w:val="clear" w:fill="E8F4FC"/>
            </w:pPr>
            <w:r/>
            <w:r>
              <w:rPr>
                <w:rFonts w:ascii="Calibri" w:hAnsi="Calibri"/>
                <w:b/>
                <w:color w:val="0069A4"/>
                <w:sz w:val="15"/>
              </w:rPr>
              <w:t>Below ₹15,000?</w:t>
            </w:r>
          </w:p>
        </w:tc>
        <w:tc>
          <w:tcPr>
            <w:tcW w:type="dxa" w:w="1008"/>
          </w:tcPr>
          <w:p>
            <w:pPr>
              <w:spacing w:after="40"/>
              <w:shd w:val="clear" w:fill="E8F4FC"/>
            </w:pPr>
            <w:r/>
            <w:r>
              <w:rPr>
                <w:rFonts w:ascii="Calibri" w:hAnsi="Calibri"/>
                <w:b/>
                <w:color w:val="0069A4"/>
                <w:sz w:val="15"/>
              </w:rPr>
              <w:t>Payroll month (cash)</w:t>
            </w:r>
          </w:p>
        </w:tc>
        <w:tc>
          <w:tcPr>
            <w:tcW w:type="dxa" w:w="1008"/>
          </w:tcPr>
          <w:p>
            <w:pPr>
              <w:spacing w:after="40"/>
              <w:shd w:val="clear" w:fill="E8F4FC"/>
            </w:pPr>
            <w:r/>
            <w:r>
              <w:rPr>
                <w:rFonts w:ascii="Calibri" w:hAnsi="Calibri"/>
                <w:b/>
                <w:color w:val="0069A4"/>
                <w:sz w:val="15"/>
              </w:rPr>
              <w:t>Approved by</w:t>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r>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296"/>
          </w:tcPr>
          <w:p>
            <w:pPr>
              <w:spacing w:after="40"/>
            </w:pPr>
            <w:r/>
            <w:r>
              <w:rPr>
                <w:rFonts w:ascii="Calibri" w:hAnsi="Calibri"/>
                <w:color w:val="565656"/>
                <w:sz w:val="15"/>
              </w:rPr>
            </w:r>
          </w:p>
        </w:tc>
        <w:tc>
          <w:tcPr>
            <w:tcW w:type="dxa" w:w="1152"/>
          </w:tcPr>
          <w:p>
            <w:pPr>
              <w:spacing w:after="40"/>
            </w:pPr>
            <w:r/>
            <w:r>
              <w:rPr>
                <w:rFonts w:ascii="Calibri" w:hAnsi="Calibri"/>
                <w:color w:val="565656"/>
                <w:sz w:val="15"/>
              </w:rPr>
            </w:r>
          </w:p>
        </w:tc>
        <w:tc>
          <w:tcPr>
            <w:tcW w:type="dxa" w:w="864"/>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c>
          <w:tcPr>
            <w:tcW w:type="dxa" w:w="1008"/>
          </w:tcPr>
          <w:p>
            <w:pPr>
              <w:spacing w:after="40"/>
            </w:pPr>
            <w:r/>
            <w:r>
              <w:rPr>
                <w:rFonts w:ascii="Calibri" w:hAnsi="Calibri"/>
                <w:color w:val="565656"/>
                <w:sz w:val="15"/>
              </w:rPr>
            </w:r>
          </w:p>
        </w:tc>
      </w:tr>
    </w:tbl>
    <w:p>
      <w:r>
        <w:br w:type="page"/>
      </w:r>
    </w:p>
    <w:p>
      <w:pPr>
        <w:pStyle w:val="Heading1"/>
        <w:keepNext/>
        <w:spacing w:after="200" w:before="80"/>
        <w:ind w:left="115"/>
        <w:shd w:val="clear" w:fill="008CDB"/>
      </w:pPr>
      <w:r>
        <w:rPr>
          <w:rFonts w:ascii="Calibri" w:hAnsi="Calibri"/>
          <w:b/>
          <w:color w:val="FFFFFF"/>
          <w:sz w:val="22"/>
        </w:rPr>
        <w:t>7.  NINE MISTAKES</w:t>
      </w:r>
    </w:p>
    <w:p>
      <w:pPr>
        <w:pStyle w:val="Heading2"/>
        <w:keepNext/>
        <w:spacing w:after="60" w:before="160"/>
      </w:pPr>
      <w:r>
        <w:rPr>
          <w:rFonts w:ascii="Calibri" w:hAnsi="Calibri"/>
          <w:b/>
          <w:color w:val="1D1D1D"/>
          <w:sz w:val="21"/>
        </w:rPr>
        <w:t>1.  Calling it a bonus</w:t>
      </w:r>
    </w:p>
    <w:p>
      <w:pPr>
        <w:keepNext w:val="0"/>
        <w:spacing w:after="120" w:before="0"/>
      </w:pPr>
      <w:r>
        <w:rPr>
          <w:rFonts w:ascii="Calibri" w:hAnsi="Calibri"/>
          <w:b w:val="0"/>
          <w:i w:val="0"/>
          <w:color w:val="1D1D1D"/>
          <w:sz w:val="20"/>
        </w:rPr>
        <w:t>The statutory bonus under the Code on Wages is a separate duty with its own rules. Call an award an award, and keep the two apart in payroll.</w:t>
      </w:r>
    </w:p>
    <w:p>
      <w:pPr>
        <w:pStyle w:val="Heading2"/>
        <w:keepNext/>
        <w:spacing w:after="60" w:before="160"/>
      </w:pPr>
      <w:r>
        <w:rPr>
          <w:rFonts w:ascii="Calibri" w:hAnsi="Calibri"/>
          <w:b/>
          <w:color w:val="1D1D1D"/>
          <w:sz w:val="21"/>
        </w:rPr>
        <w:t>2.  Forgetting the gift total</w:t>
      </w:r>
    </w:p>
    <w:p>
      <w:pPr>
        <w:keepNext w:val="0"/>
        <w:spacing w:after="120" w:before="0"/>
      </w:pPr>
      <w:r>
        <w:rPr>
          <w:rFonts w:ascii="Calibri" w:hAnsi="Calibri"/>
          <w:b w:val="0"/>
          <w:i w:val="0"/>
          <w:color w:val="1D1D1D"/>
          <w:sz w:val="20"/>
        </w:rPr>
        <w:t>The ₹15,000 is each employee's total for the tax year, across every gift, voucher and token from you, the Diwali hamper and gifts to their household included. Keep the running total in Format 11.</w:t>
      </w:r>
    </w:p>
    <w:p>
      <w:pPr>
        <w:pStyle w:val="Heading2"/>
        <w:keepNext/>
        <w:spacing w:after="60" w:before="160"/>
      </w:pPr>
      <w:r>
        <w:rPr>
          <w:rFonts w:ascii="Calibri" w:hAnsi="Calibri"/>
          <w:b/>
          <w:color w:val="1D1D1D"/>
          <w:sz w:val="21"/>
        </w:rPr>
        <w:t>3.  Treating ₹15,000 as an allowance</w:t>
      </w:r>
    </w:p>
    <w:p>
      <w:pPr>
        <w:keepNext w:val="0"/>
        <w:spacing w:after="120" w:before="0"/>
      </w:pPr>
      <w:r>
        <w:rPr>
          <w:rFonts w:ascii="Calibri" w:hAnsi="Calibri"/>
          <w:b w:val="0"/>
          <w:i w:val="0"/>
          <w:color w:val="1D1D1D"/>
          <w:sz w:val="20"/>
        </w:rPr>
        <w:t>Below it, the gifts are nil. Once the year's total reaches it, on the rule's words, all of it is a perquisite, not just the part above.</w:t>
      </w:r>
    </w:p>
    <w:p>
      <w:pPr>
        <w:pStyle w:val="Heading2"/>
        <w:keepNext/>
        <w:spacing w:after="60" w:before="160"/>
      </w:pPr>
      <w:r>
        <w:rPr>
          <w:rFonts w:ascii="Calibri" w:hAnsi="Calibri"/>
          <w:b/>
          <w:color w:val="1D1D1D"/>
          <w:sz w:val="21"/>
        </w:rPr>
        <w:t>4.  Paying a cash award outside payroll</w:t>
      </w:r>
    </w:p>
    <w:p>
      <w:pPr>
        <w:keepNext w:val="0"/>
        <w:spacing w:after="120" w:before="0"/>
      </w:pPr>
      <w:r>
        <w:rPr>
          <w:rFonts w:ascii="Calibri" w:hAnsi="Calibri"/>
          <w:b w:val="0"/>
          <w:i w:val="0"/>
          <w:color w:val="1D1D1D"/>
          <w:sz w:val="20"/>
        </w:rPr>
        <w:t>A cash award is salary. Handed over in an envelope, it misses TDS and the salary figures the year-end certificate reports.</w:t>
      </w:r>
    </w:p>
    <w:p>
      <w:pPr>
        <w:pStyle w:val="Heading2"/>
        <w:keepNext/>
        <w:spacing w:after="60" w:before="160"/>
      </w:pPr>
      <w:r>
        <w:rPr>
          <w:rFonts w:ascii="Calibri" w:hAnsi="Calibri"/>
          <w:b/>
          <w:color w:val="1D1D1D"/>
          <w:sz w:val="21"/>
        </w:rPr>
        <w:t>5.  Promising a fixed sum every month</w:t>
      </w:r>
    </w:p>
    <w:p>
      <w:pPr>
        <w:keepNext w:val="0"/>
        <w:spacing w:after="120" w:before="0"/>
      </w:pPr>
      <w:r>
        <w:rPr>
          <w:rFonts w:ascii="Calibri" w:hAnsi="Calibri"/>
          <w:b w:val="0"/>
          <w:i w:val="0"/>
          <w:color w:val="1D1D1D"/>
          <w:sz w:val="20"/>
        </w:rPr>
        <w:t>A sum a scheme promises can become wages, PF and all, on our reading. Keep the award discretionary and say so in the scheme notice. Pay for hitting targets is an incentive, not an award.</w:t>
      </w:r>
    </w:p>
    <w:p>
      <w:pPr>
        <w:pStyle w:val="Heading2"/>
        <w:keepNext/>
        <w:spacing w:after="60" w:before="160"/>
      </w:pPr>
      <w:r>
        <w:rPr>
          <w:rFonts w:ascii="Calibri" w:hAnsi="Calibri"/>
          <w:b/>
          <w:color w:val="1D1D1D"/>
          <w:sz w:val="21"/>
        </w:rPr>
        <w:t>6.  Posting the winner on LinkedIn without asking</w:t>
      </w:r>
    </w:p>
    <w:p>
      <w:pPr>
        <w:keepNext w:val="0"/>
        <w:spacing w:after="120" w:before="0"/>
      </w:pPr>
      <w:r>
        <w:rPr>
          <w:rFonts w:ascii="Calibri" w:hAnsi="Calibri"/>
          <w:b w:val="0"/>
          <w:i w:val="0"/>
          <w:color w:val="1D1D1D"/>
          <w:sz w:val="20"/>
        </w:rPr>
        <w:t>An announcement inside the company is for employment. A public post is not, on our reading: take written consent first, and make saying no cost nothing.</w:t>
      </w:r>
    </w:p>
    <w:p>
      <w:pPr>
        <w:pStyle w:val="Heading2"/>
        <w:keepNext/>
        <w:spacing w:after="60" w:before="160"/>
      </w:pPr>
      <w:r>
        <w:rPr>
          <w:rFonts w:ascii="Calibri" w:hAnsi="Calibri"/>
          <w:b/>
          <w:color w:val="1D1D1D"/>
          <w:sz w:val="21"/>
        </w:rPr>
        <w:t>7.  Counting statutory leave against someone</w:t>
      </w:r>
    </w:p>
    <w:p>
      <w:pPr>
        <w:keepNext w:val="0"/>
        <w:spacing w:after="120" w:before="0"/>
      </w:pPr>
      <w:r>
        <w:rPr>
          <w:rFonts w:ascii="Calibri" w:hAnsi="Calibri"/>
          <w:b w:val="0"/>
          <w:i w:val="0"/>
          <w:color w:val="1D1D1D"/>
          <w:sz w:val="20"/>
        </w:rPr>
        <w:t>Maternity leave, earned leave taken and holidays are not poor attendance. Score reliability on what the employee controls.</w:t>
      </w:r>
    </w:p>
    <w:p>
      <w:pPr>
        <w:pStyle w:val="Heading2"/>
        <w:keepNext/>
        <w:spacing w:after="60" w:before="160"/>
      </w:pPr>
      <w:r>
        <w:rPr>
          <w:rFonts w:ascii="Calibri" w:hAnsi="Calibri"/>
          <w:b/>
          <w:color w:val="1D1D1D"/>
          <w:sz w:val="21"/>
        </w:rPr>
        <w:t>8.  Choosing without written criteria</w:t>
      </w:r>
    </w:p>
    <w:p>
      <w:pPr>
        <w:keepNext w:val="0"/>
        <w:spacing w:after="120" w:before="0"/>
      </w:pPr>
      <w:r>
        <w:rPr>
          <w:rFonts w:ascii="Calibri" w:hAnsi="Calibri"/>
          <w:b w:val="0"/>
          <w:i w:val="0"/>
          <w:color w:val="1D1D1D"/>
          <w:sz w:val="20"/>
        </w:rPr>
        <w:t>A manager picking a favourite is how a reward turns into a grievance. Write the criteria first, score against them, and keep the sheet.</w:t>
      </w:r>
    </w:p>
    <w:p>
      <w:pPr>
        <w:pStyle w:val="Heading2"/>
        <w:keepNext/>
        <w:spacing w:after="60" w:before="160"/>
      </w:pPr>
      <w:r>
        <w:rPr>
          <w:rFonts w:ascii="Calibri" w:hAnsi="Calibri"/>
          <w:b/>
          <w:color w:val="1D1D1D"/>
          <w:sz w:val="21"/>
        </w:rPr>
        <w:t>9.  Stopping a long-running award overnight</w:t>
      </w:r>
    </w:p>
    <w:p>
      <w:pPr>
        <w:keepNext w:val="0"/>
        <w:spacing w:after="120" w:before="0"/>
      </w:pPr>
      <w:r>
        <w:rPr>
          <w:rFonts w:ascii="Calibri" w:hAnsi="Calibri"/>
          <w:b w:val="0"/>
          <w:i w:val="0"/>
          <w:color w:val="1D1D1D"/>
          <w:sz w:val="20"/>
        </w:rPr>
        <w:t>An award paid every month for years may have become a customary concession. Withdrawing one needs 21 days' notice to the workers first (IR Code s.40).</w:t>
      </w:r>
    </w:p>
    <w:p>
      <w:r>
        <w:br w:type="page"/>
      </w:r>
    </w:p>
    <w:p>
      <w:pPr>
        <w:pStyle w:val="Heading1"/>
        <w:keepNext/>
        <w:spacing w:after="200" w:before="80"/>
        <w:ind w:left="115"/>
        <w:shd w:val="clear" w:fill="008CDB"/>
      </w:pPr>
      <w:r>
        <w:rPr>
          <w:rFonts w:ascii="Calibri" w:hAnsi="Calibri"/>
          <w:b/>
          <w:color w:val="FFFFFF"/>
          <w:sz w:val="22"/>
        </w:rPr>
        <w:t>8.  WHAT THIS PACK COULD NOT SETTLE</w:t>
      </w:r>
    </w:p>
    <w:p>
      <w:pPr>
        <w:keepNext w:val="0"/>
        <w:spacing w:after="160" w:before="0"/>
      </w:pPr>
      <w:r>
        <w:rPr>
          <w:rFonts w:ascii="Calibri" w:hAnsi="Calibri"/>
          <w:b w:val="0"/>
          <w:i w:val="0"/>
          <w:color w:val="565656"/>
          <w:sz w:val="20"/>
        </w:rPr>
        <w:t>Said plainly, so a gap is not read as an answer.</w:t>
      </w:r>
    </w:p>
    <w:p>
      <w:pPr>
        <w:keepNext w:val="0"/>
        <w:spacing w:after="60" w:before="0"/>
        <w:ind w:left="360"/>
      </w:pPr>
      <w:r>
        <w:rPr>
          <w:rFonts w:ascii="Calibri" w:hAnsi="Calibri"/>
          <w:b w:val="0"/>
          <w:i w:val="0"/>
          <w:color w:val="1D1D1D"/>
          <w:sz w:val="20"/>
        </w:rPr>
        <w:t>•  Whether an award a scheme promises in advance is 'wages' under s.2(y) of the Code on Wages and s.2(88) of the Code on Social Security. Our reading is that it is, because it becomes payable under the terms of employment and no exclusion names it. No court has decided it under the Codes.</w:t>
      </w:r>
    </w:p>
    <w:p>
      <w:pPr>
        <w:keepNext w:val="0"/>
        <w:spacing w:after="60" w:before="0"/>
        <w:ind w:left="360"/>
      </w:pPr>
      <w:r>
        <w:rPr>
          <w:rFonts w:ascii="Calibri" w:hAnsi="Calibri"/>
          <w:b w:val="0"/>
          <w:i w:val="0"/>
          <w:color w:val="1D1D1D"/>
          <w:sz w:val="20"/>
        </w:rPr>
        <w:t>•  Whether cash can be a 'gift' within Table IV, item 4. The rule names a gift, a voucher and a token and does not define a gift. Our reading is that cash from an employer is salary under s.16(f), and the ₹15,000 does not reach it.</w:t>
      </w:r>
    </w:p>
    <w:p>
      <w:pPr>
        <w:keepNext w:val="0"/>
        <w:spacing w:after="60" w:before="0"/>
        <w:ind w:left="360"/>
      </w:pPr>
      <w:r>
        <w:rPr>
          <w:rFonts w:ascii="Calibri" w:hAnsi="Calibri"/>
          <w:b w:val="0"/>
          <w:i w:val="0"/>
          <w:color w:val="1D1D1D"/>
          <w:sz w:val="20"/>
        </w:rPr>
        <w:t>•  Whether a certificate, trophy or plaque of small value is a gift or token that counts towards the ₹15,000. The rule does not say. Record its cost in Format 11 to be safe.</w:t>
      </w:r>
    </w:p>
    <w:p>
      <w:pPr>
        <w:keepNext w:val="0"/>
        <w:spacing w:after="60" w:before="0"/>
        <w:ind w:left="360"/>
      </w:pPr>
      <w:r>
        <w:rPr>
          <w:rFonts w:ascii="Calibri" w:hAnsi="Calibri"/>
          <w:b w:val="0"/>
          <w:i w:val="0"/>
          <w:color w:val="1D1D1D"/>
          <w:sz w:val="20"/>
        </w:rPr>
        <w:t>•  When a recurring award becomes a 'customary concession' under item 8 of the Third Schedule. The IR Code does not say how long a practice must run.</w:t>
      </w:r>
    </w:p>
    <w:p>
      <w:pPr>
        <w:keepNext w:val="0"/>
        <w:spacing w:after="60" w:before="0"/>
        <w:ind w:left="360"/>
      </w:pPr>
      <w:r>
        <w:rPr>
          <w:rFonts w:ascii="Calibri" w:hAnsi="Calibri"/>
          <w:b w:val="0"/>
          <w:i w:val="0"/>
          <w:color w:val="1D1D1D"/>
          <w:sz w:val="20"/>
        </w:rPr>
        <w:t>•  Whether an announcement inside the company is 'for the purposes of employment' under s.7(i) of the DPDP Act. Our reading is that it is.</w:t>
      </w:r>
    </w:p>
    <w:p>
      <w:pPr>
        <w:keepNext w:val="0"/>
        <w:spacing w:after="60" w:before="0"/>
        <w:ind w:left="360"/>
      </w:pPr>
      <w:r>
        <w:rPr>
          <w:rFonts w:ascii="Calibri" w:hAnsi="Calibri"/>
          <w:b w:val="0"/>
          <w:i w:val="0"/>
          <w:color w:val="1D1D1D"/>
          <w:sz w:val="20"/>
        </w:rPr>
        <w:t>•  Which PF law decides. The repeal of the EPF Act, 1952, item 3 of s.164(1) of the Code on Social Security, was left out of S.O. 5319(E), and the Act has been used since (S.O. 5009(E) of 09-Sep-2026 exercises its s.17(3)(a)), while the EPF Scheme, 2026 calls it the 'Repealed Act' and takes the Code's wages. This pack follows the 2026 Scheme, which EPFO now runs.</w:t>
      </w:r>
    </w:p>
    <w:p>
      <w:pPr>
        <w:keepNext w:val="0"/>
        <w:spacing w:after="60" w:before="0"/>
        <w:ind w:left="360"/>
      </w:pPr>
      <w:r>
        <w:rPr>
          <w:rFonts w:ascii="Calibri" w:hAnsi="Calibri"/>
          <w:b w:val="0"/>
          <w:i w:val="0"/>
          <w:color w:val="1D1D1D"/>
          <w:sz w:val="20"/>
        </w:rPr>
        <w:t>•  Not covered: awards to contract labour or a contractor's staff, where you are not the employer and the salary and gift rules above may not apply as written; and GST on gifts to employees.</w:t>
      </w:r>
    </w:p>
    <w:p>
      <w:pPr>
        <w:keepNext w:val="0"/>
        <w:spacing w:after="60" w:before="0"/>
        <w:ind w:left="360"/>
      </w:pPr>
      <w:r>
        <w:rPr>
          <w:rFonts w:ascii="Calibri" w:hAnsi="Calibri"/>
          <w:b w:val="0"/>
          <w:i w:val="0"/>
          <w:color w:val="1D1D1D"/>
          <w:sz w:val="20"/>
        </w:rPr>
        <w:t>•  Which of the DPDP Act's own sections are in force today. We read the phasing of the Rules (rule 1), not a commencement notification for the Act's sections, so take consent now either way.</w:t>
      </w:r>
    </w:p>
    <w:p>
      <w:r>
        <w:br w:type="page"/>
      </w:r>
    </w:p>
    <w:p>
      <w:pPr>
        <w:pStyle w:val="Heading1"/>
        <w:keepNext/>
        <w:spacing w:after="200" w:before="80"/>
        <w:ind w:left="115"/>
        <w:shd w:val="clear" w:fill="008CDB"/>
      </w:pPr>
      <w:r>
        <w:rPr>
          <w:rFonts w:ascii="Calibri" w:hAnsi="Calibri"/>
          <w:b/>
          <w:color w:val="FFFFFF"/>
          <w:sz w:val="22"/>
        </w:rPr>
        <w:t>9.  FORTY CITATIONS</w:t>
      </w:r>
    </w:p>
    <w:p>
      <w:pPr>
        <w:keepNext w:val="0"/>
        <w:spacing w:after="160" w:before="0"/>
      </w:pPr>
      <w:r>
        <w:rPr>
          <w:rFonts w:ascii="Calibri" w:hAnsi="Calibri"/>
          <w:b w:val="0"/>
          <w:i w:val="0"/>
          <w:color w:val="565656"/>
          <w:sz w:val="20"/>
        </w:rPr>
        <w:t>Each read at its own provision in the official text, 23-Oct-2026.</w:t>
      </w:r>
    </w:p>
    <w:tbl>
      <w:tblPr>
        <w:tblStyle w:val="TableGrid"/>
        <w:tblW w:type="auto" w:w="0"/>
        <w:tblLook w:firstColumn="1" w:firstRow="1" w:lastColumn="0" w:lastRow="0" w:noHBand="0" w:noVBand="1" w:val="04A0"/>
      </w:tblPr>
      <w:tblGrid>
        <w:gridCol w:w="4824"/>
        <w:gridCol w:w="4824"/>
      </w:tblGrid>
      <w:tr>
        <w:tc>
          <w:tcPr>
            <w:tcW w:type="dxa" w:w="4176"/>
          </w:tcPr>
          <w:p>
            <w:pPr>
              <w:spacing w:after="40"/>
              <w:shd w:val="clear" w:fill="E8F4FC"/>
            </w:pPr>
            <w:r/>
            <w:r>
              <w:rPr>
                <w:rFonts w:ascii="Calibri" w:hAnsi="Calibri"/>
                <w:b/>
                <w:color w:val="0069A4"/>
                <w:sz w:val="17"/>
              </w:rPr>
              <w:t>Provision</w:t>
            </w:r>
          </w:p>
        </w:tc>
        <w:tc>
          <w:tcPr>
            <w:tcW w:type="dxa" w:w="5472"/>
          </w:tcPr>
          <w:p>
            <w:pPr>
              <w:spacing w:after="40"/>
              <w:shd w:val="clear" w:fill="E8F4FC"/>
            </w:pPr>
            <w:r/>
            <w:r>
              <w:rPr>
                <w:rFonts w:ascii="Calibri" w:hAnsi="Calibri"/>
                <w:b/>
                <w:color w:val="0069A4"/>
                <w:sz w:val="17"/>
              </w:rPr>
              <w:t>What it decides</w:t>
            </w:r>
          </w:p>
        </w:tc>
      </w:tr>
      <w:tr>
        <w:tc>
          <w:tcPr>
            <w:tcW w:type="dxa" w:w="4176"/>
          </w:tcPr>
          <w:p>
            <w:pPr>
              <w:spacing w:after="40"/>
            </w:pPr>
            <w:r/>
            <w:r>
              <w:rPr>
                <w:rFonts w:ascii="Calibri" w:hAnsi="Calibri"/>
                <w:color w:val="565656"/>
                <w:sz w:val="17"/>
              </w:rPr>
              <w:t>Income-tax Act, 2025, s.15(1)</w:t>
            </w:r>
          </w:p>
        </w:tc>
        <w:tc>
          <w:tcPr>
            <w:tcW w:type="dxa" w:w="5472"/>
          </w:tcPr>
          <w:p>
            <w:pPr>
              <w:spacing w:after="40"/>
            </w:pPr>
            <w:r/>
            <w:r>
              <w:rPr>
                <w:rFonts w:ascii="Calibri" w:hAnsi="Calibri"/>
                <w:color w:val="565656"/>
                <w:sz w:val="17"/>
              </w:rPr>
              <w:t>Salary is charged to tax under the head Salaries</w:t>
            </w:r>
          </w:p>
        </w:tc>
      </w:tr>
      <w:tr>
        <w:tc>
          <w:tcPr>
            <w:tcW w:type="dxa" w:w="4176"/>
          </w:tcPr>
          <w:p>
            <w:pPr>
              <w:spacing w:after="40"/>
            </w:pPr>
            <w:r/>
            <w:r>
              <w:rPr>
                <w:rFonts w:ascii="Calibri" w:hAnsi="Calibri"/>
                <w:color w:val="565656"/>
                <w:sz w:val="17"/>
              </w:rPr>
              <w:t>Income-tax Act, 2025, s.16(f)</w:t>
            </w:r>
          </w:p>
        </w:tc>
        <w:tc>
          <w:tcPr>
            <w:tcW w:type="dxa" w:w="5472"/>
          </w:tcPr>
          <w:p>
            <w:pPr>
              <w:spacing w:after="40"/>
            </w:pPr>
            <w:r/>
            <w:r>
              <w:rPr>
                <w:rFonts w:ascii="Calibri" w:hAnsi="Calibri"/>
                <w:color w:val="565656"/>
                <w:sz w:val="17"/>
              </w:rPr>
              <w:t>Salary includes profits in lieu of, or in addition to, any salary or wages: a cash award is salary</w:t>
            </w:r>
          </w:p>
        </w:tc>
      </w:tr>
      <w:tr>
        <w:tc>
          <w:tcPr>
            <w:tcW w:type="dxa" w:w="4176"/>
          </w:tcPr>
          <w:p>
            <w:pPr>
              <w:spacing w:after="40"/>
            </w:pPr>
            <w:r/>
            <w:r>
              <w:rPr>
                <w:rFonts w:ascii="Calibri" w:hAnsi="Calibri"/>
                <w:color w:val="565656"/>
                <w:sz w:val="17"/>
              </w:rPr>
              <w:t>Income-tax Act, 2025, s.17(1)(e)</w:t>
            </w:r>
          </w:p>
        </w:tc>
        <w:tc>
          <w:tcPr>
            <w:tcW w:type="dxa" w:w="5472"/>
          </w:tcPr>
          <w:p>
            <w:pPr>
              <w:spacing w:after="40"/>
            </w:pPr>
            <w:r/>
            <w:r>
              <w:rPr>
                <w:rFonts w:ascii="Calibri" w:hAnsi="Calibri"/>
                <w:color w:val="565656"/>
                <w:sz w:val="17"/>
              </w:rPr>
              <w:t>A perquisite includes the value of any other benefit or amenity, as prescribed</w:t>
            </w:r>
          </w:p>
        </w:tc>
      </w:tr>
      <w:tr>
        <w:tc>
          <w:tcPr>
            <w:tcW w:type="dxa" w:w="4176"/>
          </w:tcPr>
          <w:p>
            <w:pPr>
              <w:spacing w:after="40"/>
            </w:pPr>
            <w:r/>
            <w:r>
              <w:rPr>
                <w:rFonts w:ascii="Calibri" w:hAnsi="Calibri"/>
                <w:color w:val="565656"/>
                <w:sz w:val="17"/>
              </w:rPr>
              <w:t>Income-tax Rules, 2026, rule 15(5)(a), Table IV, item 4</w:t>
            </w:r>
          </w:p>
        </w:tc>
        <w:tc>
          <w:tcPr>
            <w:tcW w:type="dxa" w:w="5472"/>
          </w:tcPr>
          <w:p>
            <w:pPr>
              <w:spacing w:after="40"/>
            </w:pPr>
            <w:r/>
            <w:r>
              <w:rPr>
                <w:rFonts w:ascii="Calibri" w:hAnsi="Calibri"/>
                <w:color w:val="565656"/>
                <w:sz w:val="17"/>
              </w:rPr>
              <w:t>A gift, voucher or token from the employer, on ceremonial occasions or otherwise, is valued at its amount, and at nil if below ₹15,000 in aggregate during the tax year</w:t>
            </w:r>
          </w:p>
        </w:tc>
      </w:tr>
      <w:tr>
        <w:tc>
          <w:tcPr>
            <w:tcW w:type="dxa" w:w="4176"/>
          </w:tcPr>
          <w:p>
            <w:pPr>
              <w:spacing w:after="40"/>
            </w:pPr>
            <w:r/>
            <w:r>
              <w:rPr>
                <w:rFonts w:ascii="Calibri" w:hAnsi="Calibri"/>
                <w:color w:val="565656"/>
                <w:sz w:val="17"/>
              </w:rPr>
              <w:t>Income-tax Act, 2025, s.392(1)</w:t>
            </w:r>
          </w:p>
        </w:tc>
        <w:tc>
          <w:tcPr>
            <w:tcW w:type="dxa" w:w="5472"/>
          </w:tcPr>
          <w:p>
            <w:pPr>
              <w:spacing w:after="40"/>
            </w:pPr>
            <w:r/>
            <w:r>
              <w:rPr>
                <w:rFonts w:ascii="Calibri" w:hAnsi="Calibri"/>
                <w:color w:val="565656"/>
                <w:sz w:val="17"/>
              </w:rPr>
              <w:t>Tax is deducted from salary at the average rate when it is paid</w:t>
            </w:r>
          </w:p>
        </w:tc>
      </w:tr>
      <w:tr>
        <w:tc>
          <w:tcPr>
            <w:tcW w:type="dxa" w:w="4176"/>
          </w:tcPr>
          <w:p>
            <w:pPr>
              <w:spacing w:after="40"/>
            </w:pPr>
            <w:r/>
            <w:r>
              <w:rPr>
                <w:rFonts w:ascii="Calibri" w:hAnsi="Calibri"/>
                <w:color w:val="565656"/>
                <w:sz w:val="17"/>
              </w:rPr>
              <w:t>Income-tax Act, 2025, s.392(2)(a)</w:t>
            </w:r>
          </w:p>
        </w:tc>
        <w:tc>
          <w:tcPr>
            <w:tcW w:type="dxa" w:w="5472"/>
          </w:tcPr>
          <w:p>
            <w:pPr>
              <w:spacing w:after="40"/>
            </w:pPr>
            <w:r/>
            <w:r>
              <w:rPr>
                <w:rFonts w:ascii="Calibri" w:hAnsi="Calibri"/>
                <w:color w:val="565656"/>
                <w:sz w:val="17"/>
              </w:rPr>
              <w:t>The employer may pay the tax on a non-monetary perquisite instead of deducting it</w:t>
            </w:r>
          </w:p>
        </w:tc>
      </w:tr>
      <w:tr>
        <w:tc>
          <w:tcPr>
            <w:tcW w:type="dxa" w:w="4176"/>
          </w:tcPr>
          <w:p>
            <w:pPr>
              <w:spacing w:after="40"/>
            </w:pPr>
            <w:r/>
            <w:r>
              <w:rPr>
                <w:rFonts w:ascii="Calibri" w:hAnsi="Calibri"/>
                <w:color w:val="565656"/>
                <w:sz w:val="17"/>
              </w:rPr>
              <w:t>Income-tax Act, 2025, s.392(5)(a)</w:t>
            </w:r>
          </w:p>
        </w:tc>
        <w:tc>
          <w:tcPr>
            <w:tcW w:type="dxa" w:w="5472"/>
          </w:tcPr>
          <w:p>
            <w:pPr>
              <w:spacing w:after="40"/>
            </w:pPr>
            <w:r/>
            <w:r>
              <w:rPr>
                <w:rFonts w:ascii="Calibri" w:hAnsi="Calibri"/>
                <w:color w:val="565656"/>
                <w:sz w:val="17"/>
              </w:rPr>
              <w:t>The employer gives the employee a statement of perquisites with their value</w:t>
            </w:r>
          </w:p>
        </w:tc>
      </w:tr>
      <w:tr>
        <w:tc>
          <w:tcPr>
            <w:tcW w:type="dxa" w:w="4176"/>
          </w:tcPr>
          <w:p>
            <w:pPr>
              <w:spacing w:after="40"/>
            </w:pPr>
            <w:r/>
            <w:r>
              <w:rPr>
                <w:rFonts w:ascii="Calibri" w:hAnsi="Calibri"/>
                <w:color w:val="565656"/>
                <w:sz w:val="17"/>
              </w:rPr>
              <w:t>Income-tax Act, 2025, s.398(1) and (3)(a)</w:t>
            </w:r>
          </w:p>
        </w:tc>
        <w:tc>
          <w:tcPr>
            <w:tcW w:type="dxa" w:w="5472"/>
          </w:tcPr>
          <w:p>
            <w:pPr>
              <w:spacing w:after="40"/>
            </w:pPr>
            <w:r/>
            <w:r>
              <w:rPr>
                <w:rFonts w:ascii="Calibri" w:hAnsi="Calibri"/>
                <w:color w:val="565656"/>
                <w:sz w:val="17"/>
              </w:rPr>
              <w:t>Not deducting, or not paying, makes the employer an assessee in default, with interest at 1% and 1.5% a month</w:t>
            </w:r>
          </w:p>
        </w:tc>
      </w:tr>
      <w:tr>
        <w:tc>
          <w:tcPr>
            <w:tcW w:type="dxa" w:w="4176"/>
          </w:tcPr>
          <w:p>
            <w:pPr>
              <w:spacing w:after="40"/>
            </w:pPr>
            <w:r/>
            <w:r>
              <w:rPr>
                <w:rFonts w:ascii="Calibri" w:hAnsi="Calibri"/>
                <w:color w:val="565656"/>
                <w:sz w:val="17"/>
              </w:rPr>
              <w:t>Income-tax Act, 2025, s.392(5)(c)</w:t>
            </w:r>
          </w:p>
        </w:tc>
        <w:tc>
          <w:tcPr>
            <w:tcW w:type="dxa" w:w="5472"/>
          </w:tcPr>
          <w:p>
            <w:pPr>
              <w:spacing w:after="40"/>
            </w:pPr>
            <w:r/>
            <w:r>
              <w:rPr>
                <w:rFonts w:ascii="Calibri" w:hAnsi="Calibri"/>
                <w:color w:val="565656"/>
                <w:sz w:val="17"/>
              </w:rPr>
              <w:t>The deduction can be increased or reduced within the year to adjust an earlier shortfall or excess</w:t>
            </w:r>
          </w:p>
        </w:tc>
      </w:tr>
      <w:tr>
        <w:tc>
          <w:tcPr>
            <w:tcW w:type="dxa" w:w="4176"/>
          </w:tcPr>
          <w:p>
            <w:pPr>
              <w:spacing w:after="40"/>
            </w:pPr>
            <w:r/>
            <w:r>
              <w:rPr>
                <w:rFonts w:ascii="Calibri" w:hAnsi="Calibri"/>
                <w:color w:val="565656"/>
                <w:sz w:val="17"/>
              </w:rPr>
              <w:t>Code on Wages, 2019, s.2(y)</w:t>
            </w:r>
          </w:p>
        </w:tc>
        <w:tc>
          <w:tcPr>
            <w:tcW w:type="dxa" w:w="5472"/>
          </w:tcPr>
          <w:p>
            <w:pPr>
              <w:spacing w:after="40"/>
            </w:pPr>
            <w:r/>
            <w:r>
              <w:rPr>
                <w:rFonts w:ascii="Calibri" w:hAnsi="Calibri"/>
                <w:color w:val="565656"/>
                <w:sz w:val="17"/>
              </w:rPr>
              <w:t>Wages are the remuneration payable if the terms of employment, express or implied, were fulfilled, less the exclusions (a) to (k)</w:t>
            </w:r>
          </w:p>
        </w:tc>
      </w:tr>
      <w:tr>
        <w:tc>
          <w:tcPr>
            <w:tcW w:type="dxa" w:w="4176"/>
          </w:tcPr>
          <w:p>
            <w:pPr>
              <w:spacing w:after="40"/>
            </w:pPr>
            <w:r/>
            <w:r>
              <w:rPr>
                <w:rFonts w:ascii="Calibri" w:hAnsi="Calibri"/>
                <w:color w:val="565656"/>
                <w:sz w:val="17"/>
              </w:rPr>
              <w:t>Code on Wages, 2019, s.2(y)(a)</w:t>
            </w:r>
          </w:p>
        </w:tc>
        <w:tc>
          <w:tcPr>
            <w:tcW w:type="dxa" w:w="5472"/>
          </w:tcPr>
          <w:p>
            <w:pPr>
              <w:spacing w:after="40"/>
            </w:pPr>
            <w:r/>
            <w:r>
              <w:rPr>
                <w:rFonts w:ascii="Calibri" w:hAnsi="Calibri"/>
                <w:color w:val="565656"/>
                <w:sz w:val="17"/>
              </w:rPr>
              <w:t>The bonus exclusion reaches only a bonus payable under a law that is not part of the terms of employment</w:t>
            </w:r>
          </w:p>
        </w:tc>
      </w:tr>
      <w:tr>
        <w:tc>
          <w:tcPr>
            <w:tcW w:type="dxa" w:w="4176"/>
          </w:tcPr>
          <w:p>
            <w:pPr>
              <w:spacing w:after="40"/>
            </w:pPr>
            <w:r/>
            <w:r>
              <w:rPr>
                <w:rFonts w:ascii="Calibri" w:hAnsi="Calibri"/>
                <w:color w:val="565656"/>
                <w:sz w:val="17"/>
              </w:rPr>
              <w:t>Code on Wages, 2019, s.2(y), first proviso</w:t>
            </w:r>
          </w:p>
        </w:tc>
        <w:tc>
          <w:tcPr>
            <w:tcW w:type="dxa" w:w="5472"/>
          </w:tcPr>
          <w:p>
            <w:pPr>
              <w:spacing w:after="40"/>
            </w:pPr>
            <w:r/>
            <w:r>
              <w:rPr>
                <w:rFonts w:ascii="Calibri" w:hAnsi="Calibri"/>
                <w:color w:val="565656"/>
                <w:sz w:val="17"/>
              </w:rPr>
              <w:t>Exclusions above one-half of all remuneration are added back to wages</w:t>
            </w:r>
          </w:p>
        </w:tc>
      </w:tr>
      <w:tr>
        <w:tc>
          <w:tcPr>
            <w:tcW w:type="dxa" w:w="4176"/>
          </w:tcPr>
          <w:p>
            <w:pPr>
              <w:spacing w:after="40"/>
            </w:pPr>
            <w:r/>
            <w:r>
              <w:rPr>
                <w:rFonts w:ascii="Calibri" w:hAnsi="Calibri"/>
                <w:color w:val="565656"/>
                <w:sz w:val="17"/>
              </w:rPr>
              <w:t>Code on Wages, 2019, s.2(y), Explanation</w:t>
            </w:r>
          </w:p>
        </w:tc>
        <w:tc>
          <w:tcPr>
            <w:tcW w:type="dxa" w:w="5472"/>
          </w:tcPr>
          <w:p>
            <w:pPr>
              <w:spacing w:after="40"/>
            </w:pPr>
            <w:r/>
            <w:r>
              <w:rPr>
                <w:rFonts w:ascii="Calibri" w:hAnsi="Calibri"/>
                <w:color w:val="565656"/>
                <w:sz w:val="17"/>
              </w:rPr>
              <w:t>Remuneration in kind given in place of wages counts as wages up to fifteen per cent of them</w:t>
            </w:r>
          </w:p>
        </w:tc>
      </w:tr>
      <w:tr>
        <w:tc>
          <w:tcPr>
            <w:tcW w:type="dxa" w:w="4176"/>
          </w:tcPr>
          <w:p>
            <w:pPr>
              <w:spacing w:after="40"/>
            </w:pPr>
            <w:r/>
            <w:r>
              <w:rPr>
                <w:rFonts w:ascii="Calibri" w:hAnsi="Calibri"/>
                <w:color w:val="565656"/>
                <w:sz w:val="17"/>
              </w:rPr>
              <w:t>Code on Social Security, 2020, s.2(88)</w:t>
            </w:r>
          </w:p>
        </w:tc>
        <w:tc>
          <w:tcPr>
            <w:tcW w:type="dxa" w:w="5472"/>
          </w:tcPr>
          <w:p>
            <w:pPr>
              <w:spacing w:after="40"/>
            </w:pPr>
            <w:r/>
            <w:r>
              <w:rPr>
                <w:rFonts w:ascii="Calibri" w:hAnsi="Calibri"/>
                <w:color w:val="565656"/>
                <w:sz w:val="17"/>
              </w:rPr>
              <w:t>The same definition of wages, for PF and the other social security schemes</w:t>
            </w:r>
          </w:p>
        </w:tc>
      </w:tr>
      <w:tr>
        <w:tc>
          <w:tcPr>
            <w:tcW w:type="dxa" w:w="4176"/>
          </w:tcPr>
          <w:p>
            <w:pPr>
              <w:spacing w:after="40"/>
            </w:pPr>
            <w:r/>
            <w:r>
              <w:rPr>
                <w:rFonts w:ascii="Calibri" w:hAnsi="Calibri"/>
                <w:color w:val="565656"/>
                <w:sz w:val="17"/>
              </w:rPr>
              <w:t>EPF Scheme, 2026, para 18(2) and (3)</w:t>
            </w:r>
          </w:p>
        </w:tc>
        <w:tc>
          <w:tcPr>
            <w:tcW w:type="dxa" w:w="5472"/>
          </w:tcPr>
          <w:p>
            <w:pPr>
              <w:spacing w:after="40"/>
            </w:pPr>
            <w:r/>
            <w:r>
              <w:rPr>
                <w:rFonts w:ascii="Calibri" w:hAnsi="Calibri"/>
                <w:color w:val="565656"/>
                <w:sz w:val="17"/>
              </w:rPr>
              <w:t>The employer pays 12% of the wages payable, 10% in notified classes, and the employee the same, up to the wage ceiling</w:t>
            </w:r>
          </w:p>
        </w:tc>
      </w:tr>
      <w:tr>
        <w:tc>
          <w:tcPr>
            <w:tcW w:type="dxa" w:w="4176"/>
          </w:tcPr>
          <w:p>
            <w:pPr>
              <w:spacing w:after="40"/>
            </w:pPr>
            <w:r/>
            <w:r>
              <w:rPr>
                <w:rFonts w:ascii="Calibri" w:hAnsi="Calibri"/>
                <w:color w:val="565656"/>
                <w:sz w:val="17"/>
              </w:rPr>
              <w:t>EPF Scheme, 2026, para 2(2)</w:t>
            </w:r>
          </w:p>
        </w:tc>
        <w:tc>
          <w:tcPr>
            <w:tcW w:type="dxa" w:w="5472"/>
          </w:tcPr>
          <w:p>
            <w:pPr>
              <w:spacing w:after="40"/>
            </w:pPr>
            <w:r/>
            <w:r>
              <w:rPr>
                <w:rFonts w:ascii="Calibri" w:hAnsi="Calibri"/>
                <w:color w:val="565656"/>
                <w:sz w:val="17"/>
              </w:rPr>
              <w:t>Words the Scheme does not define take the Code's meaning, so wages are the Code's wages</w:t>
            </w:r>
          </w:p>
        </w:tc>
      </w:tr>
      <w:tr>
        <w:tc>
          <w:tcPr>
            <w:tcW w:type="dxa" w:w="4176"/>
          </w:tcPr>
          <w:p>
            <w:pPr>
              <w:spacing w:after="40"/>
            </w:pPr>
            <w:r/>
            <w:r>
              <w:rPr>
                <w:rFonts w:ascii="Calibri" w:hAnsi="Calibri"/>
                <w:color w:val="565656"/>
                <w:sz w:val="17"/>
              </w:rPr>
              <w:t>S.O. 5319(E), 21-Nov-2025</w:t>
            </w:r>
          </w:p>
        </w:tc>
        <w:tc>
          <w:tcPr>
            <w:tcW w:type="dxa" w:w="5472"/>
          </w:tcPr>
          <w:p>
            <w:pPr>
              <w:spacing w:after="40"/>
            </w:pPr>
            <w:r/>
            <w:r>
              <w:rPr>
                <w:rFonts w:ascii="Calibri" w:hAnsi="Calibri"/>
                <w:color w:val="565656"/>
                <w:sz w:val="17"/>
              </w:rPr>
              <w:t>Commenced the Code on Social Security in parts: of s.16(1) only clause (c), and of s.164(1) not item 3, the repeal of the EPF Act, 1952</w:t>
            </w:r>
          </w:p>
        </w:tc>
      </w:tr>
      <w:tr>
        <w:tc>
          <w:tcPr>
            <w:tcW w:type="dxa" w:w="4176"/>
          </w:tcPr>
          <w:p>
            <w:pPr>
              <w:spacing w:after="40"/>
            </w:pPr>
            <w:r/>
            <w:r>
              <w:rPr>
                <w:rFonts w:ascii="Calibri" w:hAnsi="Calibri"/>
                <w:color w:val="565656"/>
                <w:sz w:val="17"/>
              </w:rPr>
              <w:t>S.O. 5009(E), 09-Sep-2026</w:t>
            </w:r>
          </w:p>
        </w:tc>
        <w:tc>
          <w:tcPr>
            <w:tcW w:type="dxa" w:w="5472"/>
          </w:tcPr>
          <w:p>
            <w:pPr>
              <w:spacing w:after="40"/>
            </w:pPr>
            <w:r/>
            <w:r>
              <w:rPr>
                <w:rFonts w:ascii="Calibri" w:hAnsi="Calibri"/>
                <w:color w:val="565656"/>
                <w:sz w:val="17"/>
              </w:rPr>
              <w:t>Exercises s.17(3)(a) of the EPF Act, 1952, so that Act is still being used</w:t>
            </w:r>
          </w:p>
        </w:tc>
      </w:tr>
      <w:tr>
        <w:tc>
          <w:tcPr>
            <w:tcW w:type="dxa" w:w="4176"/>
          </w:tcPr>
          <w:p>
            <w:pPr>
              <w:spacing w:after="40"/>
            </w:pPr>
            <w:r/>
            <w:r>
              <w:rPr>
                <w:rFonts w:ascii="Calibri" w:hAnsi="Calibri"/>
                <w:color w:val="565656"/>
                <w:sz w:val="17"/>
              </w:rPr>
              <w:t>Code on Social Security, 2020, First Schedule</w:t>
            </w:r>
          </w:p>
        </w:tc>
        <w:tc>
          <w:tcPr>
            <w:tcW w:type="dxa" w:w="5472"/>
          </w:tcPr>
          <w:p>
            <w:pPr>
              <w:spacing w:after="40"/>
            </w:pPr>
            <w:r/>
            <w:r>
              <w:rPr>
                <w:rFonts w:ascii="Calibri" w:hAnsi="Calibri"/>
                <w:color w:val="565656"/>
                <w:sz w:val="17"/>
              </w:rPr>
              <w:t>PF applies to an establishment with twenty or more employees</w:t>
            </w:r>
          </w:p>
        </w:tc>
      </w:tr>
      <w:tr>
        <w:tc>
          <w:tcPr>
            <w:tcW w:type="dxa" w:w="4176"/>
          </w:tcPr>
          <w:p>
            <w:pPr>
              <w:spacing w:after="40"/>
            </w:pPr>
            <w:r/>
            <w:r>
              <w:rPr>
                <w:rFonts w:ascii="Calibri" w:hAnsi="Calibri"/>
                <w:color w:val="565656"/>
                <w:sz w:val="17"/>
              </w:rPr>
              <w:t>Code on Social Security, 2020, s.127 and s.128</w:t>
            </w:r>
          </w:p>
        </w:tc>
        <w:tc>
          <w:tcPr>
            <w:tcW w:type="dxa" w:w="5472"/>
          </w:tcPr>
          <w:p>
            <w:pPr>
              <w:spacing w:after="40"/>
            </w:pPr>
            <w:r/>
            <w:r>
              <w:rPr>
                <w:rFonts w:ascii="Calibri" w:hAnsi="Calibri"/>
                <w:color w:val="565656"/>
                <w:sz w:val="17"/>
              </w:rPr>
              <w:t>Interest on any amount due, and damages for a contribution in default</w:t>
            </w:r>
          </w:p>
        </w:tc>
      </w:tr>
      <w:tr>
        <w:tc>
          <w:tcPr>
            <w:tcW w:type="dxa" w:w="4176"/>
          </w:tcPr>
          <w:p>
            <w:pPr>
              <w:spacing w:after="40"/>
            </w:pPr>
            <w:r/>
            <w:r>
              <w:rPr>
                <w:rFonts w:ascii="Calibri" w:hAnsi="Calibri"/>
                <w:color w:val="565656"/>
                <w:sz w:val="17"/>
              </w:rPr>
              <w:t>Code on Social Security, 2020, s.53(1)</w:t>
            </w:r>
          </w:p>
        </w:tc>
        <w:tc>
          <w:tcPr>
            <w:tcW w:type="dxa" w:w="5472"/>
          </w:tcPr>
          <w:p>
            <w:pPr>
              <w:spacing w:after="40"/>
            </w:pPr>
            <w:r/>
            <w:r>
              <w:rPr>
                <w:rFonts w:ascii="Calibri" w:hAnsi="Calibri"/>
                <w:color w:val="565656"/>
                <w:sz w:val="17"/>
              </w:rPr>
              <w:t>Gratuity is owed after five years' continuous service, with the exceptions the section makes</w:t>
            </w:r>
          </w:p>
        </w:tc>
      </w:tr>
      <w:tr>
        <w:tc>
          <w:tcPr>
            <w:tcW w:type="dxa" w:w="4176"/>
          </w:tcPr>
          <w:p>
            <w:pPr>
              <w:spacing w:after="40"/>
            </w:pPr>
            <w:r/>
            <w:r>
              <w:rPr>
                <w:rFonts w:ascii="Calibri" w:hAnsi="Calibri"/>
                <w:color w:val="565656"/>
                <w:sz w:val="17"/>
              </w:rPr>
              <w:t>Code on Wages, 2019, s.3(2)(ii)</w:t>
            </w:r>
          </w:p>
        </w:tc>
        <w:tc>
          <w:tcPr>
            <w:tcW w:type="dxa" w:w="5472"/>
          </w:tcPr>
          <w:p>
            <w:pPr>
              <w:spacing w:after="40"/>
            </w:pPr>
            <w:r/>
            <w:r>
              <w:rPr>
                <w:rFonts w:ascii="Calibri" w:hAnsi="Calibri"/>
                <w:color w:val="565656"/>
                <w:sz w:val="17"/>
              </w:rPr>
              <w:t>No discrimination on the ground of sex in the conditions of employment, save where a law restricts women's employment in the work</w:t>
            </w:r>
          </w:p>
        </w:tc>
      </w:tr>
      <w:tr>
        <w:tc>
          <w:tcPr>
            <w:tcW w:type="dxa" w:w="4176"/>
          </w:tcPr>
          <w:p>
            <w:pPr>
              <w:spacing w:after="40"/>
            </w:pPr>
            <w:r/>
            <w:r>
              <w:rPr>
                <w:rFonts w:ascii="Calibri" w:hAnsi="Calibri"/>
                <w:color w:val="565656"/>
                <w:sz w:val="17"/>
              </w:rPr>
              <w:t>Code on Wages, 2019, s.54(1)(c) and (3)</w:t>
            </w:r>
          </w:p>
        </w:tc>
        <w:tc>
          <w:tcPr>
            <w:tcW w:type="dxa" w:w="5472"/>
          </w:tcPr>
          <w:p>
            <w:pPr>
              <w:spacing w:after="40"/>
            </w:pPr>
            <w:r/>
            <w:r>
              <w:rPr>
                <w:rFonts w:ascii="Calibri" w:hAnsi="Calibri"/>
                <w:color w:val="565656"/>
                <w:sz w:val="17"/>
              </w:rPr>
              <w:t>Any other contravention: a fine up to ₹20,000, after a written chance to comply</w:t>
            </w:r>
          </w:p>
        </w:tc>
      </w:tr>
      <w:tr>
        <w:tc>
          <w:tcPr>
            <w:tcW w:type="dxa" w:w="4176"/>
          </w:tcPr>
          <w:p>
            <w:pPr>
              <w:spacing w:after="40"/>
            </w:pPr>
            <w:r/>
            <w:r>
              <w:rPr>
                <w:rFonts w:ascii="Calibri" w:hAnsi="Calibri"/>
                <w:color w:val="565656"/>
                <w:sz w:val="17"/>
              </w:rPr>
              <w:t>OSH Code, 2020, s.43</w:t>
            </w:r>
          </w:p>
        </w:tc>
        <w:tc>
          <w:tcPr>
            <w:tcW w:type="dxa" w:w="5472"/>
          </w:tcPr>
          <w:p>
            <w:pPr>
              <w:spacing w:after="40"/>
            </w:pPr>
            <w:r/>
            <w:r>
              <w:rPr>
                <w:rFonts w:ascii="Calibri" w:hAnsi="Calibri"/>
                <w:color w:val="565656"/>
                <w:sz w:val="17"/>
              </w:rPr>
              <w:t>Women are entitled to be employed in all establishments for all types of work</w:t>
            </w:r>
          </w:p>
        </w:tc>
      </w:tr>
      <w:tr>
        <w:tc>
          <w:tcPr>
            <w:tcW w:type="dxa" w:w="4176"/>
          </w:tcPr>
          <w:p>
            <w:pPr>
              <w:spacing w:after="40"/>
            </w:pPr>
            <w:r/>
            <w:r>
              <w:rPr>
                <w:rFonts w:ascii="Calibri" w:hAnsi="Calibri"/>
                <w:color w:val="565656"/>
                <w:sz w:val="17"/>
              </w:rPr>
              <w:t>IR Code, 2020, s.40</w:t>
            </w:r>
          </w:p>
        </w:tc>
        <w:tc>
          <w:tcPr>
            <w:tcW w:type="dxa" w:w="5472"/>
          </w:tcPr>
          <w:p>
            <w:pPr>
              <w:spacing w:after="40"/>
            </w:pPr>
            <w:r/>
            <w:r>
              <w:rPr>
                <w:rFonts w:ascii="Calibri" w:hAnsi="Calibri"/>
                <w:color w:val="565656"/>
                <w:sz w:val="17"/>
              </w:rPr>
              <w:t>No change in a Third Schedule matter without notice to the workers and twenty-one days' wait</w:t>
            </w:r>
          </w:p>
        </w:tc>
      </w:tr>
      <w:tr>
        <w:tc>
          <w:tcPr>
            <w:tcW w:type="dxa" w:w="4176"/>
          </w:tcPr>
          <w:p>
            <w:pPr>
              <w:spacing w:after="40"/>
            </w:pPr>
            <w:r/>
            <w:r>
              <w:rPr>
                <w:rFonts w:ascii="Calibri" w:hAnsi="Calibri"/>
                <w:color w:val="565656"/>
                <w:sz w:val="17"/>
              </w:rPr>
              <w:t>IR Code, 2020, Third Schedule, item 8</w:t>
            </w:r>
          </w:p>
        </w:tc>
        <w:tc>
          <w:tcPr>
            <w:tcW w:type="dxa" w:w="5472"/>
          </w:tcPr>
          <w:p>
            <w:pPr>
              <w:spacing w:after="40"/>
            </w:pPr>
            <w:r/>
            <w:r>
              <w:rPr>
                <w:rFonts w:ascii="Calibri" w:hAnsi="Calibri"/>
                <w:color w:val="565656"/>
                <w:sz w:val="17"/>
              </w:rPr>
              <w:t>Withdrawal of any customary concession or privilege is such a matter</w:t>
            </w:r>
          </w:p>
        </w:tc>
      </w:tr>
      <w:tr>
        <w:tc>
          <w:tcPr>
            <w:tcW w:type="dxa" w:w="4176"/>
          </w:tcPr>
          <w:p>
            <w:pPr>
              <w:spacing w:after="40"/>
            </w:pPr>
            <w:r/>
            <w:r>
              <w:rPr>
                <w:rFonts w:ascii="Calibri" w:hAnsi="Calibri"/>
                <w:color w:val="565656"/>
                <w:sz w:val="17"/>
              </w:rPr>
              <w:t>IR Code, 2020, s.86(20)</w:t>
            </w:r>
          </w:p>
        </w:tc>
        <w:tc>
          <w:tcPr>
            <w:tcW w:type="dxa" w:w="5472"/>
          </w:tcPr>
          <w:p>
            <w:pPr>
              <w:spacing w:after="40"/>
            </w:pPr>
            <w:r/>
            <w:r>
              <w:rPr>
                <w:rFonts w:ascii="Calibri" w:hAnsi="Calibri"/>
                <w:color w:val="565656"/>
                <w:sz w:val="17"/>
              </w:rPr>
              <w:t>Any contravention without its own penalty: a fine up to ₹1,00,000</w:t>
            </w:r>
          </w:p>
        </w:tc>
      </w:tr>
      <w:tr>
        <w:tc>
          <w:tcPr>
            <w:tcW w:type="dxa" w:w="4176"/>
          </w:tcPr>
          <w:p>
            <w:pPr>
              <w:spacing w:after="40"/>
            </w:pPr>
            <w:r/>
            <w:r>
              <w:rPr>
                <w:rFonts w:ascii="Calibri" w:hAnsi="Calibri"/>
                <w:color w:val="565656"/>
                <w:sz w:val="17"/>
              </w:rPr>
              <w:t>IR Code, 2020, s.2(zr)</w:t>
            </w:r>
          </w:p>
        </w:tc>
        <w:tc>
          <w:tcPr>
            <w:tcW w:type="dxa" w:w="5472"/>
          </w:tcPr>
          <w:p>
            <w:pPr>
              <w:spacing w:after="40"/>
            </w:pPr>
            <w:r/>
            <w:r>
              <w:rPr>
                <w:rFonts w:ascii="Calibri" w:hAnsi="Calibri"/>
                <w:color w:val="565656"/>
                <w:sz w:val="17"/>
              </w:rPr>
              <w:t>The notice is owed to workers, which leaves out managers and supervisors drawing over ₹18,000 a month</w:t>
            </w:r>
          </w:p>
        </w:tc>
      </w:tr>
      <w:tr>
        <w:tc>
          <w:tcPr>
            <w:tcW w:type="dxa" w:w="4176"/>
          </w:tcPr>
          <w:p>
            <w:pPr>
              <w:spacing w:after="40"/>
            </w:pPr>
            <w:r/>
            <w:r>
              <w:rPr>
                <w:rFonts w:ascii="Calibri" w:hAnsi="Calibri"/>
                <w:color w:val="565656"/>
                <w:sz w:val="17"/>
              </w:rPr>
              <w:t>DPDP Act, 2023, s.3(a)</w:t>
            </w:r>
          </w:p>
        </w:tc>
        <w:tc>
          <w:tcPr>
            <w:tcW w:type="dxa" w:w="5472"/>
          </w:tcPr>
          <w:p>
            <w:pPr>
              <w:spacing w:after="40"/>
            </w:pPr>
            <w:r/>
            <w:r>
              <w:rPr>
                <w:rFonts w:ascii="Calibri" w:hAnsi="Calibri"/>
                <w:color w:val="565656"/>
                <w:sz w:val="17"/>
              </w:rPr>
              <w:t>The Act applies to digital personal data</w:t>
            </w:r>
          </w:p>
        </w:tc>
      </w:tr>
      <w:tr>
        <w:tc>
          <w:tcPr>
            <w:tcW w:type="dxa" w:w="4176"/>
          </w:tcPr>
          <w:p>
            <w:pPr>
              <w:spacing w:after="40"/>
            </w:pPr>
            <w:r/>
            <w:r>
              <w:rPr>
                <w:rFonts w:ascii="Calibri" w:hAnsi="Calibri"/>
                <w:color w:val="565656"/>
                <w:sz w:val="17"/>
              </w:rPr>
              <w:t>DPDP Act, 2023, s.4(1)</w:t>
            </w:r>
          </w:p>
        </w:tc>
        <w:tc>
          <w:tcPr>
            <w:tcW w:type="dxa" w:w="5472"/>
          </w:tcPr>
          <w:p>
            <w:pPr>
              <w:spacing w:after="40"/>
            </w:pPr>
            <w:r/>
            <w:r>
              <w:rPr>
                <w:rFonts w:ascii="Calibri" w:hAnsi="Calibri"/>
                <w:color w:val="565656"/>
                <w:sz w:val="17"/>
              </w:rPr>
              <w:t>Personal data is processed only with consent or for certain legitimate uses</w:t>
            </w:r>
          </w:p>
        </w:tc>
      </w:tr>
      <w:tr>
        <w:tc>
          <w:tcPr>
            <w:tcW w:type="dxa" w:w="4176"/>
          </w:tcPr>
          <w:p>
            <w:pPr>
              <w:spacing w:after="40"/>
            </w:pPr>
            <w:r/>
            <w:r>
              <w:rPr>
                <w:rFonts w:ascii="Calibri" w:hAnsi="Calibri"/>
                <w:color w:val="565656"/>
                <w:sz w:val="17"/>
              </w:rPr>
              <w:t>DPDP Act, 2023, s.5(1)</w:t>
            </w:r>
          </w:p>
        </w:tc>
        <w:tc>
          <w:tcPr>
            <w:tcW w:type="dxa" w:w="5472"/>
          </w:tcPr>
          <w:p>
            <w:pPr>
              <w:spacing w:after="40"/>
            </w:pPr>
            <w:r/>
            <w:r>
              <w:rPr>
                <w:rFonts w:ascii="Calibri" w:hAnsi="Calibri"/>
                <w:color w:val="565656"/>
                <w:sz w:val="17"/>
              </w:rPr>
              <w:t>A request for consent comes with or after a notice of what is used and why</w:t>
            </w:r>
          </w:p>
        </w:tc>
      </w:tr>
      <w:tr>
        <w:tc>
          <w:tcPr>
            <w:tcW w:type="dxa" w:w="4176"/>
          </w:tcPr>
          <w:p>
            <w:pPr>
              <w:spacing w:after="40"/>
            </w:pPr>
            <w:r/>
            <w:r>
              <w:rPr>
                <w:rFonts w:ascii="Calibri" w:hAnsi="Calibri"/>
                <w:color w:val="565656"/>
                <w:sz w:val="17"/>
              </w:rPr>
              <w:t>DPDP Act, 2023, s.6(1)</w:t>
            </w:r>
          </w:p>
        </w:tc>
        <w:tc>
          <w:tcPr>
            <w:tcW w:type="dxa" w:w="5472"/>
          </w:tcPr>
          <w:p>
            <w:pPr>
              <w:spacing w:after="40"/>
            </w:pPr>
            <w:r/>
            <w:r>
              <w:rPr>
                <w:rFonts w:ascii="Calibri" w:hAnsi="Calibri"/>
                <w:color w:val="565656"/>
                <w:sz w:val="17"/>
              </w:rPr>
              <w:t>Consent is free, specific, informed, unconditional and unambiguous, with a clear affirmative action</w:t>
            </w:r>
          </w:p>
        </w:tc>
      </w:tr>
      <w:tr>
        <w:tc>
          <w:tcPr>
            <w:tcW w:type="dxa" w:w="4176"/>
          </w:tcPr>
          <w:p>
            <w:pPr>
              <w:spacing w:after="40"/>
            </w:pPr>
            <w:r/>
            <w:r>
              <w:rPr>
                <w:rFonts w:ascii="Calibri" w:hAnsi="Calibri"/>
                <w:color w:val="565656"/>
                <w:sz w:val="17"/>
              </w:rPr>
              <w:t>DPDP Act, 2023, s.6(4)</w:t>
            </w:r>
          </w:p>
        </w:tc>
        <w:tc>
          <w:tcPr>
            <w:tcW w:type="dxa" w:w="5472"/>
          </w:tcPr>
          <w:p>
            <w:pPr>
              <w:spacing w:after="40"/>
            </w:pPr>
            <w:r/>
            <w:r>
              <w:rPr>
                <w:rFonts w:ascii="Calibri" w:hAnsi="Calibri"/>
                <w:color w:val="565656"/>
                <w:sz w:val="17"/>
              </w:rPr>
              <w:t>Consent can be withdrawn at any time, as easily as it was given</w:t>
            </w:r>
          </w:p>
        </w:tc>
      </w:tr>
      <w:tr>
        <w:tc>
          <w:tcPr>
            <w:tcW w:type="dxa" w:w="4176"/>
          </w:tcPr>
          <w:p>
            <w:pPr>
              <w:spacing w:after="40"/>
            </w:pPr>
            <w:r/>
            <w:r>
              <w:rPr>
                <w:rFonts w:ascii="Calibri" w:hAnsi="Calibri"/>
                <w:color w:val="565656"/>
                <w:sz w:val="17"/>
              </w:rPr>
              <w:t>DPDP Act, 2023, s.6(6)</w:t>
            </w:r>
          </w:p>
        </w:tc>
        <w:tc>
          <w:tcPr>
            <w:tcW w:type="dxa" w:w="5472"/>
          </w:tcPr>
          <w:p>
            <w:pPr>
              <w:spacing w:after="40"/>
            </w:pPr>
            <w:r/>
            <w:r>
              <w:rPr>
                <w:rFonts w:ascii="Calibri" w:hAnsi="Calibri"/>
                <w:color w:val="565656"/>
                <w:sz w:val="17"/>
              </w:rPr>
              <w:t>On withdrawal, processing stops within a reasonable time</w:t>
            </w:r>
          </w:p>
        </w:tc>
      </w:tr>
      <w:tr>
        <w:tc>
          <w:tcPr>
            <w:tcW w:type="dxa" w:w="4176"/>
          </w:tcPr>
          <w:p>
            <w:pPr>
              <w:spacing w:after="40"/>
            </w:pPr>
            <w:r/>
            <w:r>
              <w:rPr>
                <w:rFonts w:ascii="Calibri" w:hAnsi="Calibri"/>
                <w:color w:val="565656"/>
                <w:sz w:val="17"/>
              </w:rPr>
              <w:t>DPDP Act, 2023, s.9(1)</w:t>
            </w:r>
          </w:p>
        </w:tc>
        <w:tc>
          <w:tcPr>
            <w:tcW w:type="dxa" w:w="5472"/>
          </w:tcPr>
          <w:p>
            <w:pPr>
              <w:spacing w:after="40"/>
            </w:pPr>
            <w:r/>
            <w:r>
              <w:rPr>
                <w:rFonts w:ascii="Calibri" w:hAnsi="Calibri"/>
                <w:color w:val="565656"/>
                <w:sz w:val="17"/>
              </w:rPr>
              <w:t>For a child, or a person with a disability who has a lawful guardian, verifiable consent of the parent or guardian</w:t>
            </w:r>
          </w:p>
        </w:tc>
      </w:tr>
      <w:tr>
        <w:tc>
          <w:tcPr>
            <w:tcW w:type="dxa" w:w="4176"/>
          </w:tcPr>
          <w:p>
            <w:pPr>
              <w:spacing w:after="40"/>
            </w:pPr>
            <w:r/>
            <w:r>
              <w:rPr>
                <w:rFonts w:ascii="Calibri" w:hAnsi="Calibri"/>
                <w:color w:val="565656"/>
                <w:sz w:val="17"/>
              </w:rPr>
              <w:t>DPDP Act, 2023, the Schedule, items 3 and 7</w:t>
            </w:r>
          </w:p>
        </w:tc>
        <w:tc>
          <w:tcPr>
            <w:tcW w:type="dxa" w:w="5472"/>
          </w:tcPr>
          <w:p>
            <w:pPr>
              <w:spacing w:after="40"/>
            </w:pPr>
            <w:r/>
            <w:r>
              <w:rPr>
                <w:rFonts w:ascii="Calibri" w:hAnsi="Calibri"/>
                <w:color w:val="565656"/>
                <w:sz w:val="17"/>
              </w:rPr>
              <w:t>Up to ₹200 crore for the duties to children; up to ₹50 crore for any other provision</w:t>
            </w:r>
          </w:p>
        </w:tc>
      </w:tr>
      <w:tr>
        <w:tc>
          <w:tcPr>
            <w:tcW w:type="dxa" w:w="4176"/>
          </w:tcPr>
          <w:p>
            <w:pPr>
              <w:spacing w:after="40"/>
            </w:pPr>
            <w:r/>
            <w:r>
              <w:rPr>
                <w:rFonts w:ascii="Calibri" w:hAnsi="Calibri"/>
                <w:color w:val="565656"/>
                <w:sz w:val="17"/>
              </w:rPr>
              <w:t>DPDP Act, 2023, s.6(10)</w:t>
            </w:r>
          </w:p>
        </w:tc>
        <w:tc>
          <w:tcPr>
            <w:tcW w:type="dxa" w:w="5472"/>
          </w:tcPr>
          <w:p>
            <w:pPr>
              <w:spacing w:after="40"/>
            </w:pPr>
            <w:r/>
            <w:r>
              <w:rPr>
                <w:rFonts w:ascii="Calibri" w:hAnsi="Calibri"/>
                <w:color w:val="565656"/>
                <w:sz w:val="17"/>
              </w:rPr>
              <w:t>The employer must be able to prove the notice and the consent</w:t>
            </w:r>
          </w:p>
        </w:tc>
      </w:tr>
      <w:tr>
        <w:tc>
          <w:tcPr>
            <w:tcW w:type="dxa" w:w="4176"/>
          </w:tcPr>
          <w:p>
            <w:pPr>
              <w:spacing w:after="40"/>
            </w:pPr>
            <w:r/>
            <w:r>
              <w:rPr>
                <w:rFonts w:ascii="Calibri" w:hAnsi="Calibri"/>
                <w:color w:val="565656"/>
                <w:sz w:val="17"/>
              </w:rPr>
              <w:t>DPDP Act, 2023, s.7(i)</w:t>
            </w:r>
          </w:p>
        </w:tc>
        <w:tc>
          <w:tcPr>
            <w:tcW w:type="dxa" w:w="5472"/>
          </w:tcPr>
          <w:p>
            <w:pPr>
              <w:spacing w:after="40"/>
            </w:pPr>
            <w:r/>
            <w:r>
              <w:rPr>
                <w:rFonts w:ascii="Calibri" w:hAnsi="Calibri"/>
                <w:color w:val="565656"/>
                <w:sz w:val="17"/>
              </w:rPr>
              <w:t>Processing for the purposes of employment is a legitimate use, needing no consent</w:t>
            </w:r>
          </w:p>
        </w:tc>
      </w:tr>
      <w:tr>
        <w:tc>
          <w:tcPr>
            <w:tcW w:type="dxa" w:w="4176"/>
          </w:tcPr>
          <w:p>
            <w:pPr>
              <w:spacing w:after="40"/>
            </w:pPr>
            <w:r/>
            <w:r>
              <w:rPr>
                <w:rFonts w:ascii="Calibri" w:hAnsi="Calibri"/>
                <w:color w:val="565656"/>
                <w:sz w:val="17"/>
              </w:rPr>
              <w:t>DPDP Act, 2023, s.13(3)</w:t>
            </w:r>
          </w:p>
        </w:tc>
        <w:tc>
          <w:tcPr>
            <w:tcW w:type="dxa" w:w="5472"/>
          </w:tcPr>
          <w:p>
            <w:pPr>
              <w:spacing w:after="40"/>
            </w:pPr>
            <w:r/>
            <w:r>
              <w:rPr>
                <w:rFonts w:ascii="Calibri" w:hAnsi="Calibri"/>
                <w:color w:val="565656"/>
                <w:sz w:val="17"/>
              </w:rPr>
              <w:t>An employee exhausts your grievance route before approaching the Data Protection Board</w:t>
            </w:r>
          </w:p>
        </w:tc>
      </w:tr>
      <w:tr>
        <w:tc>
          <w:tcPr>
            <w:tcW w:type="dxa" w:w="4176"/>
          </w:tcPr>
          <w:p>
            <w:pPr>
              <w:spacing w:after="40"/>
            </w:pPr>
            <w:r/>
            <w:r>
              <w:rPr>
                <w:rFonts w:ascii="Calibri" w:hAnsi="Calibri"/>
                <w:color w:val="565656"/>
                <w:sz w:val="17"/>
              </w:rPr>
              <w:t>DPDP Rules, 2025, rule 1(4)</w:t>
            </w:r>
          </w:p>
        </w:tc>
        <w:tc>
          <w:tcPr>
            <w:tcW w:type="dxa" w:w="5472"/>
          </w:tcPr>
          <w:p>
            <w:pPr>
              <w:spacing w:after="40"/>
            </w:pPr>
            <w:r/>
            <w:r>
              <w:rPr>
                <w:rFonts w:ascii="Calibri" w:hAnsi="Calibri"/>
                <w:color w:val="565656"/>
                <w:sz w:val="17"/>
              </w:rPr>
              <w:t>Rules 3, 5 to 16, 22 and 23 come into force eighteen months after publication: 13-May-2027</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23-Oct-2026.</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Appreciation Letter and Employee of the Month Pack  ·  reviewed 23-Oct-2026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Appreciation Letter and Employee of the Month Pack</dc:title>
  <dc:subject/>
  <dc:creator>Attendo</dc:creator>
  <cp:keywords/>
  <dc:description>Reviewed 23-Oct-2026.</dc:description>
  <cp:lastModifiedBy/>
  <cp:revision>1</cp:revision>
  <dcterms:created xsi:type="dcterms:W3CDTF">2013-12-23T23:15:00Z</dcterms:created>
  <dcterms:modified xsi:type="dcterms:W3CDTF">2013-12-23T23:15:00Z</dcterms:modified>
  <cp:category/>
</cp:coreProperties>
</file>